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298F" w14:textId="77777777" w:rsidR="00F33D40" w:rsidRPr="00736F1B" w:rsidRDefault="00F33D40" w:rsidP="00F33D40">
      <w:pPr>
        <w:suppressLineNumbers/>
        <w:spacing w:after="0" w:line="240" w:lineRule="auto"/>
        <w:jc w:val="both"/>
        <w:rPr>
          <w:rFonts w:ascii="Arial Rounded MT Bold" w:hAnsi="Arial Rounded MT Bold"/>
          <w:b/>
          <w:bCs/>
        </w:rPr>
      </w:pPr>
      <w:r>
        <w:rPr>
          <w:rFonts w:ascii="Arial Rounded MT Bold" w:hAnsi="Arial Rounded MT Bold"/>
          <w:b/>
          <w:bCs/>
        </w:rPr>
        <w:t>REFERENCES</w:t>
      </w:r>
    </w:p>
    <w:p w14:paraId="1EE01F9A" w14:textId="77777777" w:rsidR="00F33D40" w:rsidRPr="00736F1B" w:rsidRDefault="00F33D40" w:rsidP="00F33D40">
      <w:pPr>
        <w:suppressLineNumbers/>
        <w:spacing w:after="0" w:line="240" w:lineRule="auto"/>
        <w:jc w:val="both"/>
        <w:rPr>
          <w:rFonts w:ascii="Bahnschrift" w:hAnsi="Bahnschrift"/>
        </w:rPr>
      </w:pPr>
    </w:p>
    <w:p w14:paraId="172929D2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Creswell, J. W., &amp; Creswell, J. D. (2018). </w:t>
      </w:r>
      <w:r>
        <w:rPr>
          <w:rFonts w:ascii="Bahnschrift" w:hAnsi="Bahnschrift" w:cs="Century"/>
          <w:i/>
          <w:iCs/>
        </w:rPr>
        <w:t>Research design: Qualitative, quantitative, and mixed methods approaches</w:t>
      </w:r>
      <w:r>
        <w:rPr>
          <w:rFonts w:ascii="Bahnschrift" w:hAnsi="Bahnschrift" w:cs="Century"/>
        </w:rPr>
        <w:t xml:space="preserve"> (5th ed.). SAGE Publications.</w:t>
      </w:r>
    </w:p>
    <w:p w14:paraId="21360CB9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192C7DC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Davis, F. D. (1989). Perceived usefulness, perceived ease of use, and user acceptance of information technology. </w:t>
      </w:r>
      <w:r>
        <w:rPr>
          <w:rFonts w:ascii="Bahnschrift" w:hAnsi="Bahnschrift" w:cs="Century"/>
          <w:i/>
          <w:iCs/>
        </w:rPr>
        <w:t>MIS Quarterly, 13</w:t>
      </w:r>
      <w:r>
        <w:rPr>
          <w:rFonts w:ascii="Bahnschrift" w:hAnsi="Bahnschrift" w:cs="Century"/>
        </w:rPr>
        <w:t>(3), 319–340. https://doi.org/10.2307/249008</w:t>
      </w:r>
    </w:p>
    <w:p w14:paraId="670A14AB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08C7C47C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DeHoratius, N., &amp; Raman, A. (2008). Inventory record inaccuracy: An empirical analysis. </w:t>
      </w:r>
      <w:r>
        <w:rPr>
          <w:rFonts w:ascii="Bahnschrift" w:hAnsi="Bahnschrift" w:cs="Century"/>
          <w:i/>
          <w:iCs/>
        </w:rPr>
        <w:t>Management Science, 54</w:t>
      </w:r>
      <w:r>
        <w:rPr>
          <w:rFonts w:ascii="Bahnschrift" w:hAnsi="Bahnschrift" w:cs="Century"/>
        </w:rPr>
        <w:t>(4), 627–641. https://doi.org/10.1287/mnsc.1070.0789</w:t>
      </w:r>
    </w:p>
    <w:p w14:paraId="72C96CC9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45F4D83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Delen, D., &amp; Ram, S. (2018). Research challenges and opportunities in business analytics. </w:t>
      </w:r>
      <w:r>
        <w:rPr>
          <w:rFonts w:ascii="Bahnschrift" w:hAnsi="Bahnschrift" w:cs="Century"/>
          <w:i/>
          <w:iCs/>
        </w:rPr>
        <w:t>Journal of Business Analytics, 1</w:t>
      </w:r>
      <w:r>
        <w:rPr>
          <w:rFonts w:ascii="Bahnschrift" w:hAnsi="Bahnschrift" w:cs="Century"/>
        </w:rPr>
        <w:t>(1), 2–12. https://doi.org/10.1080/2573234X.2018.1507324</w:t>
      </w:r>
    </w:p>
    <w:p w14:paraId="472D630C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33D8FA3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Etikan, I., Musa, S. A., &amp; Alkassim, R. S. (2016). Comparison of convenience sampling and purposive sampling. </w:t>
      </w:r>
      <w:r>
        <w:rPr>
          <w:rFonts w:ascii="Bahnschrift" w:hAnsi="Bahnschrift" w:cs="Century"/>
          <w:i/>
          <w:iCs/>
        </w:rPr>
        <w:t>American Journal of Theoretical and Applied Statistics, 5</w:t>
      </w:r>
      <w:r>
        <w:rPr>
          <w:rFonts w:ascii="Bahnschrift" w:hAnsi="Bahnschrift" w:cs="Century"/>
        </w:rPr>
        <w:t>(1), 1–4. https://doi.org/10.11648/j.ajtas.20160501.11</w:t>
      </w:r>
    </w:p>
    <w:p w14:paraId="5BBC369B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5E87C2B5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Holden, R. J., &amp; Karsh, B.-T. (2010). The technology acceptance model: Its past and its future in health care. </w:t>
      </w:r>
      <w:r>
        <w:rPr>
          <w:rFonts w:ascii="Bahnschrift" w:hAnsi="Bahnschrift" w:cs="Century"/>
          <w:i/>
          <w:iCs/>
        </w:rPr>
        <w:t>Journal of Biomedical Informatics, 43</w:t>
      </w:r>
      <w:r>
        <w:rPr>
          <w:rFonts w:ascii="Bahnschrift" w:hAnsi="Bahnschrift" w:cs="Century"/>
        </w:rPr>
        <w:t>(1), 159–172. https://doi.org/10.1016/j.jbi.2009.07.002</w:t>
      </w:r>
    </w:p>
    <w:p w14:paraId="194570E6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1808E48D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International Organization for Standardization. (2024). </w:t>
      </w:r>
      <w:r>
        <w:rPr>
          <w:rFonts w:ascii="Bahnschrift" w:hAnsi="Bahnschrift" w:cs="Century"/>
          <w:i/>
          <w:iCs/>
        </w:rPr>
        <w:t>Asset management — Vocabulary, overview and principles</w:t>
      </w:r>
      <w:r>
        <w:rPr>
          <w:rFonts w:ascii="Bahnschrift" w:hAnsi="Bahnschrift" w:cs="Century"/>
        </w:rPr>
        <w:t xml:space="preserve"> (ISO Standard No. 55000:2024). https://www.iso.org/standard/83053.html</w:t>
      </w:r>
    </w:p>
    <w:p w14:paraId="2834A328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0663F646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King, W. R., &amp; He, J. (2006). A meta-analysis of the technology acceptance model. </w:t>
      </w:r>
      <w:r>
        <w:rPr>
          <w:rFonts w:ascii="Bahnschrift" w:hAnsi="Bahnschrift" w:cs="Century"/>
          <w:i/>
          <w:iCs/>
        </w:rPr>
        <w:t>Information &amp; Management, 43</w:t>
      </w:r>
      <w:r>
        <w:rPr>
          <w:rFonts w:ascii="Bahnschrift" w:hAnsi="Bahnschrift" w:cs="Century"/>
        </w:rPr>
        <w:t>(6), 740–755. https://doi.org/10.1016/j.im.2006.05.003</w:t>
      </w:r>
    </w:p>
    <w:p w14:paraId="43EB8C82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E7A3018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Laudon, K. C., &amp; Laudon, J. P. (2020). </w:t>
      </w:r>
      <w:r>
        <w:rPr>
          <w:rFonts w:ascii="Bahnschrift" w:hAnsi="Bahnschrift" w:cs="Century"/>
          <w:i/>
          <w:iCs/>
        </w:rPr>
        <w:t>Management information systems: Managing the digital firm</w:t>
      </w:r>
      <w:r>
        <w:rPr>
          <w:rFonts w:ascii="Bahnschrift" w:hAnsi="Bahnschrift" w:cs="Century"/>
        </w:rPr>
        <w:t xml:space="preserve"> (16th ed.). Pearson.</w:t>
      </w:r>
    </w:p>
    <w:p w14:paraId="7093CC87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711A3FA4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Lee, J., Kao, H.-A., &amp; Yang, S. (2014). Service innovation and smart analytics for Industry 4.0 and big data environment. </w:t>
      </w:r>
      <w:r>
        <w:rPr>
          <w:rFonts w:ascii="Bahnschrift" w:hAnsi="Bahnschrift" w:cs="Century"/>
          <w:i/>
          <w:iCs/>
        </w:rPr>
        <w:t>Procedia CIRP, 16</w:t>
      </w:r>
      <w:r>
        <w:rPr>
          <w:rFonts w:ascii="Bahnschrift" w:hAnsi="Bahnschrift" w:cs="Century"/>
        </w:rPr>
        <w:t>, 3–8. https://doi.org/10.1016/j.procir.2014.02.001</w:t>
      </w:r>
    </w:p>
    <w:p w14:paraId="1708664D" w14:textId="77777777" w:rsidR="00F33D40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84944DB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Liao, S.-H. (2005). Expert system methodologies and applications—A decade review from 1995 to 2004. </w:t>
      </w:r>
      <w:r>
        <w:rPr>
          <w:rFonts w:ascii="Bahnschrift" w:hAnsi="Bahnschrift" w:cs="Century"/>
          <w:i/>
          <w:iCs/>
        </w:rPr>
        <w:t>Expert Systems with Applications, 28</w:t>
      </w:r>
      <w:r>
        <w:rPr>
          <w:rFonts w:ascii="Bahnschrift" w:hAnsi="Bahnschrift" w:cs="Century"/>
        </w:rPr>
        <w:t>(1), 93–103. https://doi.org/10.1016/j.eswa.2004.08.003</w:t>
      </w:r>
    </w:p>
    <w:p w14:paraId="6DE357D4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45AD4ACA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Republic of the Philippines. (2012). </w:t>
      </w:r>
      <w:r>
        <w:rPr>
          <w:rFonts w:ascii="Bahnschrift" w:hAnsi="Bahnschrift" w:cs="Century"/>
          <w:i/>
          <w:iCs/>
        </w:rPr>
        <w:t>Republic Act No. 10173: Data Privacy Act of 2012</w:t>
      </w:r>
      <w:r>
        <w:rPr>
          <w:rFonts w:ascii="Bahnschrift" w:hAnsi="Bahnschrift" w:cs="Century"/>
        </w:rPr>
        <w:t>. Official Gazette.</w:t>
      </w:r>
    </w:p>
    <w:p w14:paraId="241AFB14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3A1F03FC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Republic of the Philippines. (2013). </w:t>
      </w:r>
      <w:r>
        <w:rPr>
          <w:rFonts w:ascii="Bahnschrift" w:hAnsi="Bahnschrift" w:cs="Century"/>
          <w:i/>
          <w:iCs/>
        </w:rPr>
        <w:t>Republic Act No. 10591: Comprehensive Firearms and Ammunition Regulation Act</w:t>
      </w:r>
      <w:r>
        <w:rPr>
          <w:rFonts w:ascii="Bahnschrift" w:hAnsi="Bahnschrift" w:cs="Century"/>
        </w:rPr>
        <w:t>. Official Gazette.</w:t>
      </w:r>
    </w:p>
    <w:p w14:paraId="52E8AC98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73F940F9" w14:textId="24C119B5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Schwaber, K., &amp; Sutherland, J. (2020). </w:t>
      </w:r>
      <w:r>
        <w:rPr>
          <w:rFonts w:ascii="Bahnschrift" w:hAnsi="Bahnschrift" w:cs="Century"/>
          <w:i/>
          <w:iCs/>
        </w:rPr>
        <w:t>The Scrum guide: The definitive guide to Scrum: The rules of the game</w:t>
      </w:r>
      <w:r>
        <w:rPr>
          <w:rFonts w:ascii="Bahnschrift" w:hAnsi="Bahnschrift" w:cs="Century"/>
        </w:rPr>
        <w:t>. https://scrumguides.org/scrum-guide.html</w:t>
      </w:r>
    </w:p>
    <w:p w14:paraId="3C3E8472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lastRenderedPageBreak/>
        <w:t xml:space="preserve">Sharda, R., Delen, D., &amp; Turban, E. (2020). </w:t>
      </w:r>
      <w:r>
        <w:rPr>
          <w:rFonts w:ascii="Bahnschrift" w:hAnsi="Bahnschrift" w:cs="Century"/>
          <w:i/>
          <w:iCs/>
        </w:rPr>
        <w:t>Analytics, data science, &amp; artificial intelligence: Systems for decision support</w:t>
      </w:r>
      <w:r>
        <w:rPr>
          <w:rFonts w:ascii="Bahnschrift" w:hAnsi="Bahnschrift" w:cs="Century"/>
        </w:rPr>
        <w:t xml:space="preserve"> (11th ed.). Pearson.</w:t>
      </w:r>
    </w:p>
    <w:p w14:paraId="456BEA25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58027A63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Tavakol, M., &amp; Dennick, R. (2011). Making sense of Cronbach's alpha. </w:t>
      </w:r>
      <w:r>
        <w:rPr>
          <w:rFonts w:ascii="Bahnschrift" w:hAnsi="Bahnschrift" w:cs="Century"/>
          <w:i/>
          <w:iCs/>
        </w:rPr>
        <w:t>International Journal of Medical Education, 2</w:t>
      </w:r>
      <w:r>
        <w:rPr>
          <w:rFonts w:ascii="Bahnschrift" w:hAnsi="Bahnschrift" w:cs="Century"/>
        </w:rPr>
        <w:t>, 53–55. https://doi.org/10.5116/ijme.4dfb.8dfd</w:t>
      </w:r>
    </w:p>
    <w:p w14:paraId="721E05D9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04D34687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Venkatesh, V., &amp; Davis, F. D. (2000). A theoretical extension of the technology acceptance model: Four longitudinal field studies. </w:t>
      </w:r>
      <w:r>
        <w:rPr>
          <w:rFonts w:ascii="Bahnschrift" w:hAnsi="Bahnschrift" w:cs="Century"/>
          <w:i/>
          <w:iCs/>
        </w:rPr>
        <w:t>Management Science, 46</w:t>
      </w:r>
      <w:r>
        <w:rPr>
          <w:rFonts w:ascii="Bahnschrift" w:hAnsi="Bahnschrift" w:cs="Century"/>
        </w:rPr>
        <w:t>(2), 186–204. https://doi.org/10.1287/mnsc.46.2.186.11926</w:t>
      </w:r>
    </w:p>
    <w:p w14:paraId="384563B6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590F1F92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  <w:r>
        <w:rPr>
          <w:rFonts w:ascii="Bahnschrift" w:hAnsi="Bahnschrift" w:cs="Century"/>
        </w:rPr>
        <w:t xml:space="preserve">Vial, G. (2019). Understanding digital transformation: A review and a research agenda. </w:t>
      </w:r>
      <w:r>
        <w:rPr>
          <w:rFonts w:ascii="Bahnschrift" w:hAnsi="Bahnschrift" w:cs="Century"/>
          <w:i/>
          <w:iCs/>
        </w:rPr>
        <w:t>The Journal of Strategic Information Systems, 28</w:t>
      </w:r>
      <w:r>
        <w:rPr>
          <w:rFonts w:ascii="Bahnschrift" w:hAnsi="Bahnschrift" w:cs="Century"/>
        </w:rPr>
        <w:t>(2), 118–144. https://doi.org/10.1016/j.jsis.2019.01.003</w:t>
      </w:r>
    </w:p>
    <w:p w14:paraId="343B17CE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 w:cs="Century"/>
        </w:rPr>
      </w:pPr>
    </w:p>
    <w:p w14:paraId="5A0D05A9" w14:textId="77777777" w:rsidR="00F33D40" w:rsidRPr="00736F1B" w:rsidRDefault="00F33D40" w:rsidP="00F33D40">
      <w:pPr>
        <w:spacing w:after="0" w:line="240" w:lineRule="auto"/>
        <w:ind w:left="720" w:hanging="720"/>
        <w:jc w:val="both"/>
        <w:rPr>
          <w:rFonts w:ascii="Bahnschrift" w:hAnsi="Bahnschrift"/>
        </w:rPr>
      </w:pPr>
      <w:r>
        <w:rPr>
          <w:rFonts w:ascii="Bahnschrift" w:hAnsi="Bahnschrift" w:cs="Century"/>
        </w:rPr>
        <w:t xml:space="preserve">Zonta, T., da Costa, C. A., da Rosa Righi, R., de Lima, M. J., da Trindade, E. S., &amp; Li, G. P. (2020). Predictive maintenance in the Industry 4.0: A systematic literature review. </w:t>
      </w:r>
      <w:r>
        <w:rPr>
          <w:rFonts w:ascii="Bahnschrift" w:hAnsi="Bahnschrift" w:cs="Century"/>
          <w:i/>
          <w:iCs/>
        </w:rPr>
        <w:t>Computers &amp; Industrial Engineering, 150</w:t>
      </w:r>
      <w:r>
        <w:rPr>
          <w:rFonts w:ascii="Bahnschrift" w:hAnsi="Bahnschrift" w:cs="Century"/>
        </w:rPr>
        <w:t>, Article 106889. https://doi.org/10.1016/j.cie.2020.106889</w:t>
      </w:r>
    </w:p>
    <w:p w14:paraId="7F55EAF9" w14:textId="48D43A5C" w:rsidR="00671F20" w:rsidRPr="009C51F1" w:rsidRDefault="00671F20" w:rsidP="009C51F1"/>
    <w:sectPr w:rsidR="00671F20" w:rsidRPr="009C51F1" w:rsidSect="00AE2C6C">
      <w:head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397C6C" w14:textId="77777777" w:rsidR="00A606C3" w:rsidRDefault="00A606C3" w:rsidP="00290EE2">
      <w:pPr>
        <w:spacing w:after="0" w:line="240" w:lineRule="auto"/>
      </w:pPr>
      <w:r>
        <w:separator/>
      </w:r>
    </w:p>
  </w:endnote>
  <w:endnote w:type="continuationSeparator" w:id="0">
    <w:p w14:paraId="4A18581A" w14:textId="77777777" w:rsidR="00A606C3" w:rsidRDefault="00A606C3" w:rsidP="00290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7905D" w14:textId="77777777" w:rsidR="00A606C3" w:rsidRDefault="00A606C3" w:rsidP="00290EE2">
      <w:pPr>
        <w:spacing w:after="0" w:line="240" w:lineRule="auto"/>
      </w:pPr>
      <w:r>
        <w:separator/>
      </w:r>
    </w:p>
  </w:footnote>
  <w:footnote w:type="continuationSeparator" w:id="0">
    <w:p w14:paraId="4DCEDD94" w14:textId="77777777" w:rsidR="00A606C3" w:rsidRDefault="00A606C3" w:rsidP="00290E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8AE66" w14:textId="77777777" w:rsidR="00290EE2" w:rsidRDefault="00290EE2">
    <w:pPr>
      <w:pStyle w:val="Header"/>
      <w:rPr>
        <w:rFonts w:ascii="Times New Roman" w:eastAsia="Times New Roman" w:hAnsi="Times New Roman" w:cs="Times New Roman"/>
        <w:b/>
        <w:bCs/>
        <w:kern w:val="0"/>
        <w:sz w:val="28"/>
        <w:szCs w:val="28"/>
        <w:lang w:eastAsia="en-PH"/>
        <w14:ligatures w14:val="none"/>
      </w:rPr>
    </w:pPr>
  </w:p>
  <w:p w14:paraId="3F6EC176" w14:textId="3C082D2D" w:rsidR="00E02438" w:rsidRPr="00E02438" w:rsidRDefault="00E02438" w:rsidP="00E02438">
    <w:pPr>
      <w:pStyle w:val="Header"/>
    </w:pPr>
    <w:r w:rsidRPr="00E02438">
      <w:rPr>
        <w:noProof/>
      </w:rPr>
      <w:drawing>
        <wp:inline distT="0" distB="0" distL="0" distR="0" wp14:anchorId="502891D0" wp14:editId="449A61E3">
          <wp:extent cx="939165" cy="412750"/>
          <wp:effectExtent l="0" t="0" r="0" b="6350"/>
          <wp:docPr id="1328793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955" cy="423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A54B6F" w14:textId="0B0C146D" w:rsidR="00290EE2" w:rsidRDefault="00FE2FD1">
    <w:pPr>
      <w:pStyle w:val="Header"/>
    </w:pPr>
    <w:r>
      <w:t>__________________________________________________________________________________</w:t>
    </w:r>
  </w:p>
  <w:p w14:paraId="460F50A3" w14:textId="77777777" w:rsidR="00FE2FD1" w:rsidRDefault="00FE2F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6C3"/>
    <w:multiLevelType w:val="multilevel"/>
    <w:tmpl w:val="2736A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30380"/>
    <w:multiLevelType w:val="multilevel"/>
    <w:tmpl w:val="00B69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8853E9"/>
    <w:multiLevelType w:val="multilevel"/>
    <w:tmpl w:val="BBD8F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2655C21"/>
    <w:multiLevelType w:val="multilevel"/>
    <w:tmpl w:val="54D49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C47EF"/>
    <w:multiLevelType w:val="multilevel"/>
    <w:tmpl w:val="A5AEA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E0611"/>
    <w:multiLevelType w:val="multilevel"/>
    <w:tmpl w:val="F5F6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D24229"/>
    <w:multiLevelType w:val="multilevel"/>
    <w:tmpl w:val="9D2C2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9302C"/>
    <w:multiLevelType w:val="multilevel"/>
    <w:tmpl w:val="6464A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63175"/>
    <w:multiLevelType w:val="multilevel"/>
    <w:tmpl w:val="0EAC1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1D94123"/>
    <w:multiLevelType w:val="multilevel"/>
    <w:tmpl w:val="2A8A4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AB3239"/>
    <w:multiLevelType w:val="multilevel"/>
    <w:tmpl w:val="C6BCB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5362EA"/>
    <w:multiLevelType w:val="multilevel"/>
    <w:tmpl w:val="0CD6C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F16537"/>
    <w:multiLevelType w:val="multilevel"/>
    <w:tmpl w:val="86805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31F6CB5"/>
    <w:multiLevelType w:val="multilevel"/>
    <w:tmpl w:val="E4263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8620DD"/>
    <w:multiLevelType w:val="multilevel"/>
    <w:tmpl w:val="CBE22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886D4A"/>
    <w:multiLevelType w:val="multilevel"/>
    <w:tmpl w:val="0FF8E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5510B3"/>
    <w:multiLevelType w:val="multilevel"/>
    <w:tmpl w:val="B6E05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73716"/>
    <w:multiLevelType w:val="multilevel"/>
    <w:tmpl w:val="24F4E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4378F"/>
    <w:multiLevelType w:val="multilevel"/>
    <w:tmpl w:val="5FB88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0714CE"/>
    <w:multiLevelType w:val="multilevel"/>
    <w:tmpl w:val="A330F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90B"/>
    <w:multiLevelType w:val="multilevel"/>
    <w:tmpl w:val="4ECA2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2077C6"/>
    <w:multiLevelType w:val="multilevel"/>
    <w:tmpl w:val="5F769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3D2433"/>
    <w:multiLevelType w:val="multilevel"/>
    <w:tmpl w:val="E75E9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6D81CD1"/>
    <w:multiLevelType w:val="multilevel"/>
    <w:tmpl w:val="74F2F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9657919"/>
    <w:multiLevelType w:val="multilevel"/>
    <w:tmpl w:val="27C8A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BEA1AD1"/>
    <w:multiLevelType w:val="multilevel"/>
    <w:tmpl w:val="D3BED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D2E198B"/>
    <w:multiLevelType w:val="multilevel"/>
    <w:tmpl w:val="415AA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4F4311"/>
    <w:multiLevelType w:val="multilevel"/>
    <w:tmpl w:val="518CC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F111DD"/>
    <w:multiLevelType w:val="multilevel"/>
    <w:tmpl w:val="049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EA7C95"/>
    <w:multiLevelType w:val="multilevel"/>
    <w:tmpl w:val="6D585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B1569C"/>
    <w:multiLevelType w:val="multilevel"/>
    <w:tmpl w:val="D2F8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E663E0"/>
    <w:multiLevelType w:val="multilevel"/>
    <w:tmpl w:val="C70A6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C67724"/>
    <w:multiLevelType w:val="multilevel"/>
    <w:tmpl w:val="05004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0951E5"/>
    <w:multiLevelType w:val="multilevel"/>
    <w:tmpl w:val="E3CE1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BD44FC"/>
    <w:multiLevelType w:val="multilevel"/>
    <w:tmpl w:val="8696B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5A56FD"/>
    <w:multiLevelType w:val="multilevel"/>
    <w:tmpl w:val="F822D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79323F"/>
    <w:multiLevelType w:val="multilevel"/>
    <w:tmpl w:val="A6A6C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34558"/>
    <w:multiLevelType w:val="multilevel"/>
    <w:tmpl w:val="EB303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3E7D"/>
    <w:multiLevelType w:val="multilevel"/>
    <w:tmpl w:val="164CD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010D60"/>
    <w:multiLevelType w:val="multilevel"/>
    <w:tmpl w:val="8BB4F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E8345C"/>
    <w:multiLevelType w:val="multilevel"/>
    <w:tmpl w:val="C2025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6364749">
    <w:abstractNumId w:val="13"/>
  </w:num>
  <w:num w:numId="2" w16cid:durableId="1840268275">
    <w:abstractNumId w:val="11"/>
  </w:num>
  <w:num w:numId="3" w16cid:durableId="2000771353">
    <w:abstractNumId w:val="39"/>
  </w:num>
  <w:num w:numId="4" w16cid:durableId="2116243982">
    <w:abstractNumId w:val="35"/>
  </w:num>
  <w:num w:numId="5" w16cid:durableId="1848906244">
    <w:abstractNumId w:val="15"/>
  </w:num>
  <w:num w:numId="6" w16cid:durableId="1097823186">
    <w:abstractNumId w:val="32"/>
  </w:num>
  <w:num w:numId="7" w16cid:durableId="692804235">
    <w:abstractNumId w:val="2"/>
  </w:num>
  <w:num w:numId="8" w16cid:durableId="1726566390">
    <w:abstractNumId w:val="9"/>
  </w:num>
  <w:num w:numId="9" w16cid:durableId="1678072523">
    <w:abstractNumId w:val="25"/>
  </w:num>
  <w:num w:numId="10" w16cid:durableId="657853467">
    <w:abstractNumId w:val="29"/>
  </w:num>
  <w:num w:numId="11" w16cid:durableId="1146699707">
    <w:abstractNumId w:val="3"/>
  </w:num>
  <w:num w:numId="12" w16cid:durableId="1427195387">
    <w:abstractNumId w:val="7"/>
  </w:num>
  <w:num w:numId="13" w16cid:durableId="359866326">
    <w:abstractNumId w:val="31"/>
  </w:num>
  <w:num w:numId="14" w16cid:durableId="1610159056">
    <w:abstractNumId w:val="28"/>
  </w:num>
  <w:num w:numId="15" w16cid:durableId="1035691151">
    <w:abstractNumId w:val="21"/>
  </w:num>
  <w:num w:numId="16" w16cid:durableId="1345325102">
    <w:abstractNumId w:val="6"/>
  </w:num>
  <w:num w:numId="17" w16cid:durableId="1939287957">
    <w:abstractNumId w:val="40"/>
  </w:num>
  <w:num w:numId="18" w16cid:durableId="1050766509">
    <w:abstractNumId w:val="5"/>
  </w:num>
  <w:num w:numId="19" w16cid:durableId="2067869038">
    <w:abstractNumId w:val="38"/>
  </w:num>
  <w:num w:numId="20" w16cid:durableId="926382073">
    <w:abstractNumId w:val="33"/>
  </w:num>
  <w:num w:numId="21" w16cid:durableId="175774230">
    <w:abstractNumId w:val="30"/>
  </w:num>
  <w:num w:numId="22" w16cid:durableId="1980959878">
    <w:abstractNumId w:val="0"/>
  </w:num>
  <w:num w:numId="23" w16cid:durableId="853687006">
    <w:abstractNumId w:val="10"/>
  </w:num>
  <w:num w:numId="24" w16cid:durableId="767386865">
    <w:abstractNumId w:val="4"/>
  </w:num>
  <w:num w:numId="25" w16cid:durableId="1604609217">
    <w:abstractNumId w:val="26"/>
  </w:num>
  <w:num w:numId="26" w16cid:durableId="1921407878">
    <w:abstractNumId w:val="17"/>
  </w:num>
  <w:num w:numId="27" w16cid:durableId="1137604831">
    <w:abstractNumId w:val="37"/>
  </w:num>
  <w:num w:numId="28" w16cid:durableId="1843815622">
    <w:abstractNumId w:val="20"/>
  </w:num>
  <w:num w:numId="29" w16cid:durableId="1984578508">
    <w:abstractNumId w:val="18"/>
  </w:num>
  <w:num w:numId="30" w16cid:durableId="1087849804">
    <w:abstractNumId w:val="16"/>
  </w:num>
  <w:num w:numId="31" w16cid:durableId="1535196864">
    <w:abstractNumId w:val="19"/>
  </w:num>
  <w:num w:numId="32" w16cid:durableId="1006328205">
    <w:abstractNumId w:val="36"/>
  </w:num>
  <w:num w:numId="33" w16cid:durableId="2076972064">
    <w:abstractNumId w:val="24"/>
  </w:num>
  <w:num w:numId="34" w16cid:durableId="1405879234">
    <w:abstractNumId w:val="14"/>
  </w:num>
  <w:num w:numId="35" w16cid:durableId="1221095569">
    <w:abstractNumId w:val="34"/>
  </w:num>
  <w:num w:numId="36" w16cid:durableId="759450845">
    <w:abstractNumId w:val="23"/>
  </w:num>
  <w:num w:numId="37" w16cid:durableId="869100768">
    <w:abstractNumId w:val="1"/>
  </w:num>
  <w:num w:numId="38" w16cid:durableId="505630791">
    <w:abstractNumId w:val="12"/>
  </w:num>
  <w:num w:numId="39" w16cid:durableId="1763648156">
    <w:abstractNumId w:val="8"/>
  </w:num>
  <w:num w:numId="40" w16cid:durableId="544607842">
    <w:abstractNumId w:val="22"/>
  </w:num>
  <w:num w:numId="41" w16cid:durableId="157033967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C6C"/>
    <w:rsid w:val="000115DB"/>
    <w:rsid w:val="00012787"/>
    <w:rsid w:val="000845F5"/>
    <w:rsid w:val="000854B9"/>
    <w:rsid w:val="00085B6A"/>
    <w:rsid w:val="000905B2"/>
    <w:rsid w:val="000C2E76"/>
    <w:rsid w:val="000D0E69"/>
    <w:rsid w:val="000F5057"/>
    <w:rsid w:val="001957A8"/>
    <w:rsid w:val="001F1FD0"/>
    <w:rsid w:val="001F54EA"/>
    <w:rsid w:val="001F5BD9"/>
    <w:rsid w:val="00211740"/>
    <w:rsid w:val="002171B2"/>
    <w:rsid w:val="00222ABA"/>
    <w:rsid w:val="00233803"/>
    <w:rsid w:val="00246867"/>
    <w:rsid w:val="00290EE2"/>
    <w:rsid w:val="00297A83"/>
    <w:rsid w:val="002A0ACD"/>
    <w:rsid w:val="002C07E5"/>
    <w:rsid w:val="002D0592"/>
    <w:rsid w:val="002D3698"/>
    <w:rsid w:val="002E59CC"/>
    <w:rsid w:val="00330B9D"/>
    <w:rsid w:val="00330D2C"/>
    <w:rsid w:val="00370561"/>
    <w:rsid w:val="00372956"/>
    <w:rsid w:val="003970FD"/>
    <w:rsid w:val="003C0253"/>
    <w:rsid w:val="003C1C37"/>
    <w:rsid w:val="0044264E"/>
    <w:rsid w:val="00451A1D"/>
    <w:rsid w:val="004662CE"/>
    <w:rsid w:val="004727ED"/>
    <w:rsid w:val="00485B27"/>
    <w:rsid w:val="00487414"/>
    <w:rsid w:val="004B00A8"/>
    <w:rsid w:val="004C6BEA"/>
    <w:rsid w:val="00502558"/>
    <w:rsid w:val="00513D4A"/>
    <w:rsid w:val="00533882"/>
    <w:rsid w:val="00535BAD"/>
    <w:rsid w:val="00555061"/>
    <w:rsid w:val="005611F8"/>
    <w:rsid w:val="00567107"/>
    <w:rsid w:val="005B5DD9"/>
    <w:rsid w:val="005B666E"/>
    <w:rsid w:val="005C1604"/>
    <w:rsid w:val="005D4E9F"/>
    <w:rsid w:val="005E50C0"/>
    <w:rsid w:val="00600AE7"/>
    <w:rsid w:val="00603552"/>
    <w:rsid w:val="00607AB1"/>
    <w:rsid w:val="00623E52"/>
    <w:rsid w:val="00623E9B"/>
    <w:rsid w:val="00640E62"/>
    <w:rsid w:val="0064183D"/>
    <w:rsid w:val="00645E4B"/>
    <w:rsid w:val="00657F10"/>
    <w:rsid w:val="00661919"/>
    <w:rsid w:val="00671F20"/>
    <w:rsid w:val="0068556F"/>
    <w:rsid w:val="00691497"/>
    <w:rsid w:val="006B1674"/>
    <w:rsid w:val="006B59D7"/>
    <w:rsid w:val="006F7E14"/>
    <w:rsid w:val="007257B4"/>
    <w:rsid w:val="00755F49"/>
    <w:rsid w:val="0076121C"/>
    <w:rsid w:val="00766FAB"/>
    <w:rsid w:val="00772C0C"/>
    <w:rsid w:val="007A198A"/>
    <w:rsid w:val="007A4C79"/>
    <w:rsid w:val="007B5400"/>
    <w:rsid w:val="007C515B"/>
    <w:rsid w:val="007E1A12"/>
    <w:rsid w:val="00805115"/>
    <w:rsid w:val="00805D1B"/>
    <w:rsid w:val="00814436"/>
    <w:rsid w:val="00836DAB"/>
    <w:rsid w:val="00847EF6"/>
    <w:rsid w:val="00866E71"/>
    <w:rsid w:val="008753FF"/>
    <w:rsid w:val="008A200E"/>
    <w:rsid w:val="008B0FD5"/>
    <w:rsid w:val="008E0D92"/>
    <w:rsid w:val="008E42EE"/>
    <w:rsid w:val="008F2867"/>
    <w:rsid w:val="00904FD2"/>
    <w:rsid w:val="009251D0"/>
    <w:rsid w:val="009500D8"/>
    <w:rsid w:val="009518D7"/>
    <w:rsid w:val="0095365A"/>
    <w:rsid w:val="0095714A"/>
    <w:rsid w:val="00991E5A"/>
    <w:rsid w:val="009C0634"/>
    <w:rsid w:val="009C51F1"/>
    <w:rsid w:val="00A21F23"/>
    <w:rsid w:val="00A44CF0"/>
    <w:rsid w:val="00A50563"/>
    <w:rsid w:val="00A55C89"/>
    <w:rsid w:val="00A606C3"/>
    <w:rsid w:val="00A819D9"/>
    <w:rsid w:val="00A84EFD"/>
    <w:rsid w:val="00A949FE"/>
    <w:rsid w:val="00A94BB2"/>
    <w:rsid w:val="00AB2C26"/>
    <w:rsid w:val="00AD4157"/>
    <w:rsid w:val="00AE2C6C"/>
    <w:rsid w:val="00AE71DE"/>
    <w:rsid w:val="00AE75F0"/>
    <w:rsid w:val="00B3100F"/>
    <w:rsid w:val="00B52DD2"/>
    <w:rsid w:val="00BC682E"/>
    <w:rsid w:val="00BD249A"/>
    <w:rsid w:val="00C10275"/>
    <w:rsid w:val="00C1121B"/>
    <w:rsid w:val="00C17E96"/>
    <w:rsid w:val="00C27D2D"/>
    <w:rsid w:val="00C31B93"/>
    <w:rsid w:val="00C4676A"/>
    <w:rsid w:val="00C80E04"/>
    <w:rsid w:val="00C833B7"/>
    <w:rsid w:val="00D33289"/>
    <w:rsid w:val="00D50816"/>
    <w:rsid w:val="00D56D5A"/>
    <w:rsid w:val="00D64BB9"/>
    <w:rsid w:val="00D70538"/>
    <w:rsid w:val="00D801F1"/>
    <w:rsid w:val="00D80679"/>
    <w:rsid w:val="00D86FE1"/>
    <w:rsid w:val="00DC7E96"/>
    <w:rsid w:val="00DD52A7"/>
    <w:rsid w:val="00E00198"/>
    <w:rsid w:val="00E02438"/>
    <w:rsid w:val="00E1410E"/>
    <w:rsid w:val="00E4300D"/>
    <w:rsid w:val="00E441AA"/>
    <w:rsid w:val="00E5333A"/>
    <w:rsid w:val="00E5452F"/>
    <w:rsid w:val="00E84A47"/>
    <w:rsid w:val="00E862AC"/>
    <w:rsid w:val="00EA227F"/>
    <w:rsid w:val="00EB128D"/>
    <w:rsid w:val="00EC441F"/>
    <w:rsid w:val="00EC4E5D"/>
    <w:rsid w:val="00EE5033"/>
    <w:rsid w:val="00EF0898"/>
    <w:rsid w:val="00F15E24"/>
    <w:rsid w:val="00F335F1"/>
    <w:rsid w:val="00F33D40"/>
    <w:rsid w:val="00F34DCD"/>
    <w:rsid w:val="00F84A20"/>
    <w:rsid w:val="00F944CA"/>
    <w:rsid w:val="00FC4AA6"/>
    <w:rsid w:val="00FC6E98"/>
    <w:rsid w:val="00FE2FD1"/>
    <w:rsid w:val="00FE4A12"/>
    <w:rsid w:val="00FE5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C18648"/>
  <w15:chartTrackingRefBased/>
  <w15:docId w15:val="{CB524ECB-B2ED-469E-8D91-709584522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7E5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C6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C6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C6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C6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C6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C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C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C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C6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C6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C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C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C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C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C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C6C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C6C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C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C6C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C6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C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C6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C6C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0EE2"/>
  </w:style>
  <w:style w:type="paragraph" w:styleId="Footer">
    <w:name w:val="footer"/>
    <w:basedOn w:val="Normal"/>
    <w:link w:val="FooterChar"/>
    <w:uiPriority w:val="99"/>
    <w:unhideWhenUsed/>
    <w:rsid w:val="00290E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0EE2"/>
  </w:style>
  <w:style w:type="table" w:styleId="TableGrid">
    <w:name w:val="Table Grid"/>
    <w:basedOn w:val="TableNormal"/>
    <w:uiPriority w:val="39"/>
    <w:rsid w:val="000905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54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PH"/>
      <w14:ligatures w14:val="none"/>
    </w:rPr>
  </w:style>
  <w:style w:type="character" w:styleId="Strong">
    <w:name w:val="Strong"/>
    <w:basedOn w:val="DefaultParagraphFont"/>
    <w:uiPriority w:val="22"/>
    <w:qFormat/>
    <w:rsid w:val="001F54EA"/>
    <w:rPr>
      <w:b/>
      <w:bCs/>
    </w:rPr>
  </w:style>
  <w:style w:type="character" w:styleId="Hyperlink">
    <w:name w:val="Hyperlink"/>
    <w:basedOn w:val="DefaultParagraphFont"/>
    <w:uiPriority w:val="99"/>
    <w:unhideWhenUsed/>
    <w:qFormat/>
    <w:rsid w:val="002338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38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2</Pages>
  <Words>499</Words>
  <Characters>2846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victorcajala@outlook.com</dc:creator>
  <cp:keywords/>
  <dc:description/>
  <cp:lastModifiedBy>Victor Cajala</cp:lastModifiedBy>
  <cp:revision>57</cp:revision>
  <cp:lastPrinted>2026-02-21T05:03:00Z</cp:lastPrinted>
  <dcterms:created xsi:type="dcterms:W3CDTF">2025-12-03T11:08:00Z</dcterms:created>
  <dcterms:modified xsi:type="dcterms:W3CDTF">2026-10-23T04:31:00Z</dcterms:modified>
</cp:coreProperties>
</file>