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AB705" w14:textId="77777777" w:rsidR="00DB5F66" w:rsidRPr="008E3E1B" w:rsidRDefault="00DB5F66" w:rsidP="00DB5F66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8E3E1B">
        <w:rPr>
          <w:rFonts w:ascii="Arial Rounded MT Bold" w:hAnsi="Arial Rounded MT Bold"/>
          <w:b/>
          <w:bCs/>
        </w:rPr>
        <w:t xml:space="preserve">REFERENCES </w:t>
      </w:r>
    </w:p>
    <w:p w14:paraId="757BF256" w14:textId="77777777" w:rsidR="00DB5F66" w:rsidRPr="008E3E1B" w:rsidRDefault="00DB5F66" w:rsidP="00DB5F66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2F0CBDF0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Bryman, A. (2016). </w:t>
      </w:r>
      <w:r w:rsidRPr="00587A7F">
        <w:rPr>
          <w:rFonts w:ascii="Bahnschrift" w:eastAsia="Century" w:hAnsi="Bahnschrift" w:cs="Century"/>
          <w:i/>
          <w:iCs/>
        </w:rPr>
        <w:t>Social research methods</w:t>
      </w:r>
      <w:r w:rsidRPr="00587A7F">
        <w:rPr>
          <w:rFonts w:ascii="Bahnschrift" w:eastAsia="Century" w:hAnsi="Bahnschrift" w:cs="Century"/>
        </w:rPr>
        <w:t xml:space="preserve"> (5th ed.). Oxford University Press.</w:t>
      </w:r>
    </w:p>
    <w:p w14:paraId="16DF5ADC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11AD6604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Cleofas, J. V. (2020). Student involvement, mental health, and quality of life of college students in a selected university in Manila, Philippines. </w:t>
      </w:r>
      <w:r w:rsidRPr="00587A7F">
        <w:rPr>
          <w:rFonts w:ascii="Bahnschrift" w:eastAsia="Century" w:hAnsi="Bahnschrift" w:cs="Century"/>
          <w:i/>
          <w:iCs/>
        </w:rPr>
        <w:t>International Journal of Adolescence and Youth, 25</w:t>
      </w:r>
      <w:r w:rsidRPr="00587A7F">
        <w:rPr>
          <w:rFonts w:ascii="Bahnschrift" w:eastAsia="Century" w:hAnsi="Bahnschrift" w:cs="Century"/>
        </w:rPr>
        <w:t xml:space="preserve">(1), 435–447. https://doi.org/10.1080/02673843.2019.1670683 </w:t>
      </w:r>
    </w:p>
    <w:p w14:paraId="442F74DB" w14:textId="77777777" w:rsidR="00DB5F66" w:rsidRPr="00587A7F" w:rsidRDefault="00DB5F66" w:rsidP="00DB5F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6BA2C162" w14:textId="77777777" w:rsidR="00DB5F66" w:rsidRPr="00587A7F" w:rsidRDefault="00DB5F66" w:rsidP="00DB5F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Cleofas, J. V. (2021). Self-care practices and online student engagement during Covid-19 in the Philippines: A mixed methods study. </w:t>
      </w:r>
      <w:r w:rsidRPr="00587A7F">
        <w:rPr>
          <w:rFonts w:ascii="Bahnschrift" w:eastAsia="Century" w:hAnsi="Bahnschrift" w:cs="Century"/>
          <w:i/>
          <w:iCs/>
        </w:rPr>
        <w:t>Issues in Educational Research, 31</w:t>
      </w:r>
      <w:r w:rsidRPr="00587A7F">
        <w:rPr>
          <w:rFonts w:ascii="Bahnschrift" w:eastAsia="Century" w:hAnsi="Bahnschrift" w:cs="Century"/>
        </w:rPr>
        <w:t xml:space="preserve">(3), 699-717. https://search.informit.org/doi/10.3316/informit.190833224062802 </w:t>
      </w:r>
    </w:p>
    <w:p w14:paraId="5DE1C5E9" w14:textId="77777777" w:rsidR="00DB5F66" w:rsidRPr="00587A7F" w:rsidRDefault="00DB5F66" w:rsidP="00DB5F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3972587B" w14:textId="77777777" w:rsidR="00DB5F66" w:rsidRPr="00587A7F" w:rsidRDefault="00DB5F66" w:rsidP="00DB5F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>Cook-Cottone, C. P. (2015).</w:t>
      </w:r>
      <w:r w:rsidRPr="00587A7F">
        <w:rPr>
          <w:rFonts w:ascii="Bahnschrift" w:eastAsia="Century" w:hAnsi="Bahnschrift" w:cs="Century"/>
          <w:i/>
          <w:iCs/>
        </w:rPr>
        <w:t xml:space="preserve"> Mindfulness and yoga for self-regulation: A primer for mental health professionals</w:t>
      </w:r>
      <w:r w:rsidRPr="00587A7F">
        <w:rPr>
          <w:rFonts w:ascii="Bahnschrift" w:eastAsia="Century" w:hAnsi="Bahnschrift" w:cs="Century"/>
        </w:rPr>
        <w:t>. Springer Publishing.</w:t>
      </w:r>
    </w:p>
    <w:p w14:paraId="72B9428B" w14:textId="77777777" w:rsidR="00DB5F66" w:rsidRPr="00587A7F" w:rsidRDefault="00DB5F66" w:rsidP="00DB5F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483AC2DC" w14:textId="77777777" w:rsidR="00DB5F66" w:rsidRPr="00587A7F" w:rsidRDefault="00DB5F66" w:rsidP="00DB5F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Cook-Cottone, C. P., &amp; </w:t>
      </w:r>
      <w:proofErr w:type="spellStart"/>
      <w:r w:rsidRPr="00587A7F">
        <w:rPr>
          <w:rFonts w:ascii="Bahnschrift" w:eastAsia="Century" w:hAnsi="Bahnschrift" w:cs="Century"/>
        </w:rPr>
        <w:t>Guyker</w:t>
      </w:r>
      <w:proofErr w:type="spellEnd"/>
      <w:r w:rsidRPr="00587A7F">
        <w:rPr>
          <w:rFonts w:ascii="Bahnschrift" w:eastAsia="Century" w:hAnsi="Bahnschrift" w:cs="Century"/>
        </w:rPr>
        <w:t xml:space="preserve">, W. M. (2018). The development and validation of the Mindful Self-Care Scale (MSCS): An assessment of practices that support positive embodiment. </w:t>
      </w:r>
      <w:r w:rsidRPr="00587A7F">
        <w:rPr>
          <w:rFonts w:ascii="Bahnschrift" w:eastAsia="Century" w:hAnsi="Bahnschrift" w:cs="Century"/>
          <w:i/>
          <w:iCs/>
        </w:rPr>
        <w:t>Mindfulness, 9</w:t>
      </w:r>
      <w:r w:rsidRPr="00587A7F">
        <w:rPr>
          <w:rFonts w:ascii="Bahnschrift" w:eastAsia="Century" w:hAnsi="Bahnschrift" w:cs="Century"/>
        </w:rPr>
        <w:t>(1), 161-175.</w:t>
      </w:r>
    </w:p>
    <w:p w14:paraId="483D0679" w14:textId="77777777" w:rsidR="00DB5F66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11524F36" w14:textId="6D289084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Creswell, J. W., &amp; Creswell, J. D. (2018). </w:t>
      </w:r>
      <w:r w:rsidRPr="00587A7F">
        <w:rPr>
          <w:rFonts w:ascii="Bahnschrift" w:eastAsia="Century" w:hAnsi="Bahnschrift" w:cs="Century"/>
          <w:i/>
          <w:iCs/>
        </w:rPr>
        <w:t>Research design: Qualitative, quantitative, and mixed methods approaches</w:t>
      </w:r>
      <w:r w:rsidRPr="00587A7F">
        <w:rPr>
          <w:rFonts w:ascii="Bahnschrift" w:eastAsia="Century" w:hAnsi="Bahnschrift" w:cs="Century"/>
        </w:rPr>
        <w:t xml:space="preserve"> (5th ed.). SAGE Publications.</w:t>
      </w:r>
    </w:p>
    <w:p w14:paraId="1DB58391" w14:textId="77777777" w:rsidR="00DB5F66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578506F3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Dorociak, K. E., Rupert, P. A., Bryant, F. B., &amp; Zahniser, E. (2017). Development of a Self-Care Assessment for Psychologists. </w:t>
      </w:r>
      <w:r w:rsidRPr="00587A7F">
        <w:rPr>
          <w:rFonts w:ascii="Bahnschrift" w:eastAsia="Century" w:hAnsi="Bahnschrift" w:cs="Century"/>
          <w:i/>
          <w:iCs/>
        </w:rPr>
        <w:t>Journal of Counseling Psychology, 64</w:t>
      </w:r>
      <w:r w:rsidRPr="00587A7F">
        <w:rPr>
          <w:rFonts w:ascii="Bahnschrift" w:eastAsia="Century" w:hAnsi="Bahnschrift" w:cs="Century"/>
        </w:rPr>
        <w:t xml:space="preserve">(3), 325–334. </w:t>
      </w:r>
      <w:hyperlink r:id="rId7">
        <w:r w:rsidRPr="00587A7F">
          <w:rPr>
            <w:rFonts w:ascii="Bahnschrift" w:eastAsia="Century" w:hAnsi="Bahnschrift" w:cs="Century"/>
          </w:rPr>
          <w:t>https://doi.org/10.1037/cou000020</w:t>
        </w:r>
      </w:hyperlink>
      <w:r w:rsidRPr="00587A7F">
        <w:rPr>
          <w:rFonts w:ascii="Bahnschrift" w:eastAsia="Century" w:hAnsi="Bahnschrift" w:cs="Century"/>
        </w:rPr>
        <w:t xml:space="preserve">6 </w:t>
      </w:r>
    </w:p>
    <w:p w14:paraId="256877BD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33C650DF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Enriquez, V. G. (1992). </w:t>
      </w:r>
      <w:r w:rsidRPr="00587A7F">
        <w:rPr>
          <w:rFonts w:ascii="Bahnschrift" w:eastAsia="Century" w:hAnsi="Bahnschrift" w:cs="Century"/>
          <w:i/>
          <w:iCs/>
        </w:rPr>
        <w:t>From colonial to liberation psychology: The Philippine experience</w:t>
      </w:r>
      <w:r w:rsidRPr="00587A7F">
        <w:rPr>
          <w:rFonts w:ascii="Bahnschrift" w:eastAsia="Century" w:hAnsi="Bahnschrift" w:cs="Century"/>
        </w:rPr>
        <w:t>. University of the Philippines Press.</w:t>
      </w:r>
    </w:p>
    <w:p w14:paraId="5A19523A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18746565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Field, A. (2013). </w:t>
      </w:r>
      <w:r w:rsidRPr="00587A7F">
        <w:rPr>
          <w:rFonts w:ascii="Bahnschrift" w:eastAsia="Century" w:hAnsi="Bahnschrift" w:cs="Century"/>
          <w:i/>
          <w:iCs/>
        </w:rPr>
        <w:t>Discovering Statistics Using IBM SPSS Statistics</w:t>
      </w:r>
      <w:r w:rsidRPr="00587A7F">
        <w:rPr>
          <w:rFonts w:ascii="Bahnschrift" w:eastAsia="Century" w:hAnsi="Bahnschrift" w:cs="Century"/>
        </w:rPr>
        <w:t>. Sage.</w:t>
      </w:r>
    </w:p>
    <w:p w14:paraId="4462A3DD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17353CC4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Greason, D. P. B., Glaser, T., &amp; Mroz, K. (2015). Thinking Outside the Box: Psychological Needs of Art Students Compared With Traditional Students. </w:t>
      </w:r>
      <w:r w:rsidRPr="00587A7F">
        <w:rPr>
          <w:rFonts w:ascii="Bahnschrift" w:eastAsia="Century" w:hAnsi="Bahnschrift" w:cs="Century"/>
          <w:i/>
          <w:iCs/>
        </w:rPr>
        <w:t>Journal of College Student Psychotherapy, 29</w:t>
      </w:r>
      <w:r w:rsidRPr="00587A7F">
        <w:rPr>
          <w:rFonts w:ascii="Bahnschrift" w:eastAsia="Century" w:hAnsi="Bahnschrift" w:cs="Century"/>
        </w:rPr>
        <w:t xml:space="preserve">(1), 53–71. https://doi.org/10.1080/87568225.2015.976099 </w:t>
      </w:r>
    </w:p>
    <w:p w14:paraId="7068D8C2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0150751B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Hunziker, S., &amp; </w:t>
      </w:r>
      <w:proofErr w:type="spellStart"/>
      <w:r w:rsidRPr="00587A7F">
        <w:rPr>
          <w:rFonts w:ascii="Bahnschrift" w:eastAsia="Century" w:hAnsi="Bahnschrift" w:cs="Century"/>
        </w:rPr>
        <w:t>Blankenagel</w:t>
      </w:r>
      <w:proofErr w:type="spellEnd"/>
      <w:r w:rsidRPr="00587A7F">
        <w:rPr>
          <w:rFonts w:ascii="Bahnschrift" w:eastAsia="Century" w:hAnsi="Bahnschrift" w:cs="Century"/>
        </w:rPr>
        <w:t xml:space="preserve">, M. (2021). </w:t>
      </w:r>
      <w:r w:rsidRPr="00587A7F">
        <w:rPr>
          <w:rFonts w:ascii="Bahnschrift" w:eastAsia="Century" w:hAnsi="Bahnschrift" w:cs="Century"/>
          <w:i/>
          <w:iCs/>
        </w:rPr>
        <w:t>Research design in business and management</w:t>
      </w:r>
      <w:r w:rsidRPr="00587A7F">
        <w:rPr>
          <w:rFonts w:ascii="Bahnschrift" w:eastAsia="Century" w:hAnsi="Bahnschrift" w:cs="Century"/>
        </w:rPr>
        <w:t>. Springer Gabler.</w:t>
      </w:r>
    </w:p>
    <w:p w14:paraId="06A92C35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2311A4DB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Justiniani, B. (2014, July 12). The passion behind performance. </w:t>
      </w:r>
      <w:r w:rsidRPr="00587A7F">
        <w:rPr>
          <w:rFonts w:ascii="Bahnschrift" w:eastAsia="Century" w:hAnsi="Bahnschrift" w:cs="Century"/>
          <w:i/>
          <w:iCs/>
        </w:rPr>
        <w:t xml:space="preserve">The </w:t>
      </w:r>
      <w:proofErr w:type="spellStart"/>
      <w:r w:rsidRPr="00587A7F">
        <w:rPr>
          <w:rFonts w:ascii="Bahnschrift" w:eastAsia="Century" w:hAnsi="Bahnschrift" w:cs="Century"/>
          <w:i/>
          <w:iCs/>
        </w:rPr>
        <w:t>LaSallian</w:t>
      </w:r>
      <w:proofErr w:type="spellEnd"/>
      <w:r w:rsidRPr="00587A7F">
        <w:rPr>
          <w:rFonts w:ascii="Bahnschrift" w:eastAsia="Century" w:hAnsi="Bahnschrift" w:cs="Century"/>
        </w:rPr>
        <w:t xml:space="preserve">. https://thelasallian.com </w:t>
      </w:r>
    </w:p>
    <w:p w14:paraId="76EE1BFC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27B49CD4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proofErr w:type="spellStart"/>
      <w:r w:rsidRPr="00587A7F">
        <w:rPr>
          <w:rFonts w:ascii="Bahnschrift" w:eastAsia="Century" w:hAnsi="Bahnschrift" w:cs="Century"/>
        </w:rPr>
        <w:t>Khademian</w:t>
      </w:r>
      <w:proofErr w:type="spellEnd"/>
      <w:r w:rsidRPr="00587A7F">
        <w:rPr>
          <w:rFonts w:ascii="Bahnschrift" w:eastAsia="Century" w:hAnsi="Bahnschrift" w:cs="Century"/>
        </w:rPr>
        <w:t xml:space="preserve">, Z., Kazemi Ara, F., &amp; Gholamzadeh, S. (2020). The effect of self-care education based on Orem's nursing theory on quality of life and self-efficacy in patients with hypertension: A quasi-experimental study. </w:t>
      </w:r>
      <w:r w:rsidRPr="00587A7F">
        <w:rPr>
          <w:rFonts w:ascii="Bahnschrift" w:eastAsia="Century" w:hAnsi="Bahnschrift" w:cs="Century"/>
          <w:i/>
          <w:iCs/>
        </w:rPr>
        <w:t>International Journal of Community Based Nursing and Midwifery, 8</w:t>
      </w:r>
      <w:r w:rsidRPr="00587A7F">
        <w:rPr>
          <w:rFonts w:ascii="Bahnschrift" w:eastAsia="Century" w:hAnsi="Bahnschrift" w:cs="Century"/>
        </w:rPr>
        <w:t xml:space="preserve">(2), 140–149.   https://doi.org/10.30476/IJCBNM.2020.81690.0 </w:t>
      </w:r>
    </w:p>
    <w:p w14:paraId="56F14010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003397DC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proofErr w:type="spellStart"/>
      <w:r w:rsidRPr="00587A7F">
        <w:rPr>
          <w:rFonts w:ascii="Bahnschrift" w:eastAsia="Century" w:hAnsi="Bahnschrift" w:cs="Century"/>
        </w:rPr>
        <w:t>Labrague</w:t>
      </w:r>
      <w:proofErr w:type="spellEnd"/>
      <w:r w:rsidRPr="00587A7F">
        <w:rPr>
          <w:rFonts w:ascii="Bahnschrift" w:eastAsia="Century" w:hAnsi="Bahnschrift" w:cs="Century"/>
        </w:rPr>
        <w:t xml:space="preserve">, L. J., McEnroe-Petitte, D. M., Gloe, D., Thomas, L., Papathanasiou, I. V., &amp; </w:t>
      </w:r>
      <w:proofErr w:type="spellStart"/>
      <w:r w:rsidRPr="00587A7F">
        <w:rPr>
          <w:rFonts w:ascii="Bahnschrift" w:eastAsia="Century" w:hAnsi="Bahnschrift" w:cs="Century"/>
        </w:rPr>
        <w:t>Tsaras</w:t>
      </w:r>
      <w:proofErr w:type="spellEnd"/>
      <w:r w:rsidRPr="00587A7F">
        <w:rPr>
          <w:rFonts w:ascii="Bahnschrift" w:eastAsia="Century" w:hAnsi="Bahnschrift" w:cs="Century"/>
        </w:rPr>
        <w:t xml:space="preserve">, K. (2017). A literature review on stress and coping strategies in nursing students. </w:t>
      </w:r>
      <w:r w:rsidRPr="00587A7F">
        <w:rPr>
          <w:rFonts w:ascii="Bahnschrift" w:eastAsia="Century" w:hAnsi="Bahnschrift" w:cs="Century"/>
          <w:i/>
          <w:iCs/>
        </w:rPr>
        <w:lastRenderedPageBreak/>
        <w:t>Journal of Mental Health, 26(</w:t>
      </w:r>
      <w:r w:rsidRPr="00587A7F">
        <w:rPr>
          <w:rFonts w:ascii="Bahnschrift" w:eastAsia="Century" w:hAnsi="Bahnschrift" w:cs="Century"/>
        </w:rPr>
        <w:t xml:space="preserve">5), 471–480.  https://doi.org/10.1080/09638237.2016.1244721 </w:t>
      </w:r>
    </w:p>
    <w:p w14:paraId="56557191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26F2ACAF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Lim, J., </w:t>
      </w:r>
      <w:proofErr w:type="spellStart"/>
      <w:r w:rsidRPr="00587A7F">
        <w:rPr>
          <w:rFonts w:ascii="Bahnschrift" w:eastAsia="Century" w:hAnsi="Bahnschrift" w:cs="Century"/>
        </w:rPr>
        <w:t>Pacong</w:t>
      </w:r>
      <w:proofErr w:type="spellEnd"/>
      <w:r w:rsidRPr="00587A7F">
        <w:rPr>
          <w:rFonts w:ascii="Bahnschrift" w:eastAsia="Century" w:hAnsi="Bahnschrift" w:cs="Century"/>
        </w:rPr>
        <w:t xml:space="preserve">, J., </w:t>
      </w:r>
      <w:proofErr w:type="spellStart"/>
      <w:r w:rsidRPr="00587A7F">
        <w:rPr>
          <w:rFonts w:ascii="Bahnschrift" w:eastAsia="Century" w:hAnsi="Bahnschrift" w:cs="Century"/>
        </w:rPr>
        <w:t>Alquizar</w:t>
      </w:r>
      <w:proofErr w:type="spellEnd"/>
      <w:r w:rsidRPr="00587A7F">
        <w:rPr>
          <w:rFonts w:ascii="Bahnschrift" w:eastAsia="Century" w:hAnsi="Bahnschrift" w:cs="Century"/>
        </w:rPr>
        <w:t>, C., &amp; Manaois, J. (2024). Unpacking post-pandemic academic burnout and coping mechanisms among Filipino college students.</w:t>
      </w:r>
      <w:r w:rsidRPr="00587A7F">
        <w:rPr>
          <w:rFonts w:ascii="Bahnschrift" w:eastAsia="Century" w:hAnsi="Bahnschrift" w:cs="Century"/>
          <w:i/>
          <w:iCs/>
        </w:rPr>
        <w:t xml:space="preserve"> International Journal of Research and Innovation in Social Science, 7</w:t>
      </w:r>
      <w:r w:rsidRPr="00587A7F">
        <w:rPr>
          <w:rFonts w:ascii="Bahnschrift" w:eastAsia="Century" w:hAnsi="Bahnschrift" w:cs="Century"/>
        </w:rPr>
        <w:t xml:space="preserve">(12), 1501–1511. https://doi.org/10.47772/IJRISS.2023.7012116 </w:t>
      </w:r>
    </w:p>
    <w:p w14:paraId="46D771BE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52335A64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Munro, D. (2014). Injury patterns and rates amongst students at the National Institute of Circus Arts: An observational study. </w:t>
      </w:r>
      <w:r w:rsidRPr="00587A7F">
        <w:rPr>
          <w:rFonts w:ascii="Bahnschrift" w:eastAsia="Century" w:hAnsi="Bahnschrift" w:cs="Century"/>
          <w:i/>
          <w:iCs/>
        </w:rPr>
        <w:t>Medical Problems of Performing Artists, 29</w:t>
      </w:r>
      <w:r w:rsidRPr="00587A7F">
        <w:rPr>
          <w:rFonts w:ascii="Bahnschrift" w:eastAsia="Century" w:hAnsi="Bahnschrift" w:cs="Century"/>
        </w:rPr>
        <w:t xml:space="preserve">(4), 235–240. https://doi.org/10.21091/mppa.2014.4046 </w:t>
      </w:r>
    </w:p>
    <w:p w14:paraId="171F9C67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32BFC860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Orem, D. E. (1971). </w:t>
      </w:r>
      <w:r w:rsidRPr="00587A7F">
        <w:rPr>
          <w:rFonts w:ascii="Bahnschrift" w:eastAsia="Century" w:hAnsi="Bahnschrift" w:cs="Century"/>
          <w:i/>
          <w:iCs/>
        </w:rPr>
        <w:t>Nursing: Concepts of practice</w:t>
      </w:r>
      <w:r w:rsidRPr="00587A7F">
        <w:rPr>
          <w:rFonts w:ascii="Bahnschrift" w:eastAsia="Century" w:hAnsi="Bahnschrift" w:cs="Century"/>
        </w:rPr>
        <w:t>. McGraw-Hill.</w:t>
      </w:r>
    </w:p>
    <w:p w14:paraId="0276E41E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261A1330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  <w:r w:rsidRPr="00587A7F">
        <w:rPr>
          <w:rFonts w:ascii="Bahnschrift" w:eastAsia="Century" w:hAnsi="Bahnschrift" w:cs="Century"/>
        </w:rPr>
        <w:t xml:space="preserve">Patton, M. Q. (2015). </w:t>
      </w:r>
      <w:r w:rsidRPr="00587A7F">
        <w:rPr>
          <w:rFonts w:ascii="Bahnschrift" w:eastAsia="Century" w:hAnsi="Bahnschrift" w:cs="Century"/>
          <w:i/>
          <w:iCs/>
        </w:rPr>
        <w:t>Qualitative research &amp; evaluation methods</w:t>
      </w:r>
      <w:r w:rsidRPr="00587A7F">
        <w:rPr>
          <w:rFonts w:ascii="Bahnschrift" w:eastAsia="Century" w:hAnsi="Bahnschrift" w:cs="Century"/>
        </w:rPr>
        <w:t xml:space="preserve"> (4th ed.). SAGE Publications.</w:t>
      </w:r>
    </w:p>
    <w:p w14:paraId="515EEC6F" w14:textId="77777777" w:rsidR="00DB5F66" w:rsidRPr="00587A7F" w:rsidRDefault="00DB5F66" w:rsidP="00DB5F66">
      <w:pPr>
        <w:spacing w:after="0" w:line="240" w:lineRule="auto"/>
        <w:ind w:left="720" w:hanging="720"/>
        <w:jc w:val="both"/>
        <w:rPr>
          <w:rFonts w:ascii="Bahnschrift" w:eastAsia="Century" w:hAnsi="Bahnschrift" w:cs="Century"/>
        </w:rPr>
      </w:pPr>
    </w:p>
    <w:p w14:paraId="41A1408E" w14:textId="77777777" w:rsidR="00DB5F66" w:rsidRPr="00587A7F" w:rsidRDefault="00DB5F66" w:rsidP="00DB5F66">
      <w:pPr>
        <w:suppressLineNumbers/>
        <w:spacing w:after="0" w:line="240" w:lineRule="auto"/>
        <w:ind w:left="720" w:hanging="720"/>
        <w:jc w:val="both"/>
        <w:rPr>
          <w:rFonts w:ascii="Bahnschrift" w:hAnsi="Bahnschrift"/>
        </w:rPr>
      </w:pPr>
      <w:r w:rsidRPr="00587A7F">
        <w:rPr>
          <w:rFonts w:ascii="Bahnschrift" w:eastAsia="Century" w:hAnsi="Bahnschrift" w:cs="Century"/>
        </w:rPr>
        <w:t xml:space="preserve">Saunders, M., Lewis, P., &amp; Thornhill, A. (2019). </w:t>
      </w:r>
      <w:r w:rsidRPr="00587A7F">
        <w:rPr>
          <w:rFonts w:ascii="Bahnschrift" w:eastAsia="Century" w:hAnsi="Bahnschrift" w:cs="Century"/>
          <w:i/>
          <w:iCs/>
        </w:rPr>
        <w:t>Research methods for business students</w:t>
      </w:r>
      <w:r w:rsidRPr="00587A7F">
        <w:rPr>
          <w:rFonts w:ascii="Bahnschrift" w:eastAsia="Century" w:hAnsi="Bahnschrift" w:cs="Century"/>
        </w:rPr>
        <w:t xml:space="preserve"> (8th ed.). Pearson Education.</w:t>
      </w: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sz w:val="24"/>
          <w:szCs w:val="24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17762" w14:textId="77777777" w:rsidR="008A40B1" w:rsidRDefault="008A40B1" w:rsidP="00290EE2">
      <w:pPr>
        <w:spacing w:after="0" w:line="240" w:lineRule="auto"/>
      </w:pPr>
      <w:r>
        <w:separator/>
      </w:r>
    </w:p>
  </w:endnote>
  <w:endnote w:type="continuationSeparator" w:id="0">
    <w:p w14:paraId="326C87DD" w14:textId="77777777" w:rsidR="008A40B1" w:rsidRDefault="008A40B1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2E28D" w14:textId="77777777" w:rsidR="008A40B1" w:rsidRDefault="008A40B1" w:rsidP="00290EE2">
      <w:pPr>
        <w:spacing w:after="0" w:line="240" w:lineRule="auto"/>
      </w:pPr>
      <w:r>
        <w:separator/>
      </w:r>
    </w:p>
  </w:footnote>
  <w:footnote w:type="continuationSeparator" w:id="0">
    <w:p w14:paraId="193072C2" w14:textId="77777777" w:rsidR="008A40B1" w:rsidRDefault="008A40B1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1E1B4D"/>
    <w:multiLevelType w:val="multilevel"/>
    <w:tmpl w:val="36A6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6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2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7"/>
  </w:num>
  <w:num w:numId="26" w16cid:durableId="1921407878">
    <w:abstractNumId w:val="18"/>
  </w:num>
  <w:num w:numId="27" w16cid:durableId="1137604831">
    <w:abstractNumId w:val="37"/>
  </w:num>
  <w:num w:numId="28" w16cid:durableId="1843815622">
    <w:abstractNumId w:val="21"/>
  </w:num>
  <w:num w:numId="29" w16cid:durableId="1984578508">
    <w:abstractNumId w:val="19"/>
  </w:num>
  <w:num w:numId="30" w16cid:durableId="1087849804">
    <w:abstractNumId w:val="16"/>
  </w:num>
  <w:num w:numId="31" w16cid:durableId="1535196864">
    <w:abstractNumId w:val="20"/>
  </w:num>
  <w:num w:numId="32" w16cid:durableId="1006328205">
    <w:abstractNumId w:val="36"/>
  </w:num>
  <w:num w:numId="33" w16cid:durableId="2076972064">
    <w:abstractNumId w:val="25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4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3"/>
  </w:num>
  <w:num w:numId="41" w16cid:durableId="7134256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45A0B"/>
    <w:rsid w:val="000513A1"/>
    <w:rsid w:val="00077679"/>
    <w:rsid w:val="000854B9"/>
    <w:rsid w:val="00085B6A"/>
    <w:rsid w:val="000905B2"/>
    <w:rsid w:val="000A3744"/>
    <w:rsid w:val="000B20E3"/>
    <w:rsid w:val="000C2E76"/>
    <w:rsid w:val="000E6E7E"/>
    <w:rsid w:val="000F5057"/>
    <w:rsid w:val="000F6515"/>
    <w:rsid w:val="001537E9"/>
    <w:rsid w:val="001803A8"/>
    <w:rsid w:val="001D20DB"/>
    <w:rsid w:val="001E51ED"/>
    <w:rsid w:val="001F54EA"/>
    <w:rsid w:val="00230B27"/>
    <w:rsid w:val="00246867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3B1849"/>
    <w:rsid w:val="003C75C7"/>
    <w:rsid w:val="0040380D"/>
    <w:rsid w:val="004065DD"/>
    <w:rsid w:val="0041197F"/>
    <w:rsid w:val="00423FA0"/>
    <w:rsid w:val="00441477"/>
    <w:rsid w:val="0044264E"/>
    <w:rsid w:val="00447D9B"/>
    <w:rsid w:val="00451A1D"/>
    <w:rsid w:val="00461A7E"/>
    <w:rsid w:val="00487414"/>
    <w:rsid w:val="004935CA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5F68"/>
    <w:rsid w:val="00567107"/>
    <w:rsid w:val="00583CD2"/>
    <w:rsid w:val="005A412C"/>
    <w:rsid w:val="005C1604"/>
    <w:rsid w:val="005D2292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71F20"/>
    <w:rsid w:val="00676A64"/>
    <w:rsid w:val="006D226E"/>
    <w:rsid w:val="006D5B80"/>
    <w:rsid w:val="00715281"/>
    <w:rsid w:val="007327F1"/>
    <w:rsid w:val="00735A13"/>
    <w:rsid w:val="00744F4E"/>
    <w:rsid w:val="00755F49"/>
    <w:rsid w:val="00756E91"/>
    <w:rsid w:val="0076121C"/>
    <w:rsid w:val="0076460C"/>
    <w:rsid w:val="00793BA1"/>
    <w:rsid w:val="007A4C79"/>
    <w:rsid w:val="007C1CD4"/>
    <w:rsid w:val="007E1A12"/>
    <w:rsid w:val="007E2834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A40B1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A8C"/>
    <w:rsid w:val="00A46EC1"/>
    <w:rsid w:val="00A702FB"/>
    <w:rsid w:val="00A949FE"/>
    <w:rsid w:val="00AA5980"/>
    <w:rsid w:val="00AB7B62"/>
    <w:rsid w:val="00AD6DEE"/>
    <w:rsid w:val="00AE2C6C"/>
    <w:rsid w:val="00AE75F0"/>
    <w:rsid w:val="00B03067"/>
    <w:rsid w:val="00B33FB0"/>
    <w:rsid w:val="00B517BC"/>
    <w:rsid w:val="00B52DD2"/>
    <w:rsid w:val="00B90292"/>
    <w:rsid w:val="00BD197D"/>
    <w:rsid w:val="00BD21AF"/>
    <w:rsid w:val="00C019A5"/>
    <w:rsid w:val="00C1010B"/>
    <w:rsid w:val="00C261F2"/>
    <w:rsid w:val="00C4676A"/>
    <w:rsid w:val="00C64BBB"/>
    <w:rsid w:val="00C833B7"/>
    <w:rsid w:val="00D12E17"/>
    <w:rsid w:val="00D21FD1"/>
    <w:rsid w:val="00D269F4"/>
    <w:rsid w:val="00D56D5A"/>
    <w:rsid w:val="00D63BE3"/>
    <w:rsid w:val="00D67678"/>
    <w:rsid w:val="00D86FE1"/>
    <w:rsid w:val="00D90040"/>
    <w:rsid w:val="00DB5F66"/>
    <w:rsid w:val="00DC7E96"/>
    <w:rsid w:val="00DD0027"/>
    <w:rsid w:val="00DD169C"/>
    <w:rsid w:val="00DD3D62"/>
    <w:rsid w:val="00DD5544"/>
    <w:rsid w:val="00DE625B"/>
    <w:rsid w:val="00DE69B0"/>
    <w:rsid w:val="00DF30A2"/>
    <w:rsid w:val="00DF5CBF"/>
    <w:rsid w:val="00E02438"/>
    <w:rsid w:val="00E03E24"/>
    <w:rsid w:val="00E203A6"/>
    <w:rsid w:val="00E5333A"/>
    <w:rsid w:val="00E67E08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827FD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F4E"/>
    <w:pPr>
      <w:spacing w:line="256" w:lineRule="auto"/>
    </w:pPr>
    <w:rPr>
      <w:rFonts w:ascii="Calibri" w:eastAsia="Calibri" w:hAnsi="Calibri" w:cs="Calibri"/>
      <w:kern w:val="0"/>
      <w:lang w:eastAsia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sycnet.apa.org/doi/10.1037/cou00002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63</cp:revision>
  <cp:lastPrinted>2026-02-21T05:03:00Z</cp:lastPrinted>
  <dcterms:created xsi:type="dcterms:W3CDTF">2025-12-03T11:08:00Z</dcterms:created>
  <dcterms:modified xsi:type="dcterms:W3CDTF">2026-10-08T11:02:00Z</dcterms:modified>
</cp:coreProperties>
</file>