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D4B03" w14:textId="77777777" w:rsidR="00F24ACD" w:rsidRPr="004D1CE9" w:rsidRDefault="00F24ACD" w:rsidP="00F24ACD">
      <w:pPr>
        <w:suppressLineNumbers/>
        <w:spacing w:after="0" w:line="240" w:lineRule="auto"/>
        <w:jc w:val="both"/>
        <w:rPr>
          <w:rFonts w:ascii="Arial Rounded MT Bold" w:hAnsi="Arial Rounded MT Bold"/>
          <w:b/>
          <w:bCs/>
        </w:rPr>
      </w:pPr>
      <w:r w:rsidRPr="004D1CE9">
        <w:rPr>
          <w:rFonts w:ascii="Arial Rounded MT Bold" w:hAnsi="Arial Rounded MT Bold"/>
          <w:b/>
          <w:bCs/>
        </w:rPr>
        <w:t>REFERENCES</w:t>
      </w:r>
    </w:p>
    <w:p w14:paraId="34339B5D" w14:textId="77777777" w:rsidR="00F24ACD" w:rsidRPr="004D1CE9" w:rsidRDefault="00F24ACD" w:rsidP="00F24ACD">
      <w:pPr>
        <w:widowControl w:val="0"/>
        <w:adjustRightInd w:val="0"/>
        <w:spacing w:after="0" w:line="240" w:lineRule="auto"/>
        <w:jc w:val="both"/>
        <w:rPr>
          <w:rFonts w:ascii="Bahnschrift" w:hAnsi="Bahnschrift" w:cs="Arial"/>
          <w:noProof/>
        </w:rPr>
      </w:pPr>
    </w:p>
    <w:p w14:paraId="3ADC2091" w14:textId="77777777" w:rsidR="00F24ACD" w:rsidRPr="007E734E" w:rsidRDefault="00F24ACD" w:rsidP="00F24ACD">
      <w:pPr>
        <w:pStyle w:val="NormalWeb"/>
        <w:spacing w:before="0" w:beforeAutospacing="0" w:after="0" w:afterAutospacing="0"/>
        <w:ind w:left="720" w:hanging="720"/>
        <w:contextualSpacing/>
        <w:jc w:val="both"/>
        <w:rPr>
          <w:rFonts w:ascii="Bahnschrift" w:hAnsi="Bahnschrift" w:cs="Arial"/>
          <w:sz w:val="22"/>
          <w:szCs w:val="22"/>
        </w:rPr>
      </w:pPr>
      <w:r w:rsidRPr="007E734E">
        <w:rPr>
          <w:rFonts w:ascii="Bahnschrift" w:hAnsi="Bahnschrift" w:cs="Arial"/>
          <w:sz w:val="22"/>
          <w:szCs w:val="22"/>
        </w:rPr>
        <w:t xml:space="preserve">Adonis. (2022, August 23). </w:t>
      </w:r>
      <w:r w:rsidRPr="007E734E">
        <w:rPr>
          <w:rStyle w:val="Emphasis"/>
          <w:rFonts w:ascii="Bahnschrift" w:hAnsi="Bahnschrift" w:cs="Arial"/>
          <w:sz w:val="22"/>
          <w:szCs w:val="22"/>
        </w:rPr>
        <w:t>Cyprus Shipping News</w:t>
      </w:r>
      <w:r w:rsidRPr="007E734E">
        <w:rPr>
          <w:rFonts w:ascii="Bahnschrift" w:hAnsi="Bahnschrift" w:cs="Arial"/>
          <w:sz w:val="22"/>
          <w:szCs w:val="22"/>
        </w:rPr>
        <w:t>. Cyprus Shipping News.</w:t>
      </w:r>
    </w:p>
    <w:p w14:paraId="29DA3617" w14:textId="77777777" w:rsidR="00F24ACD" w:rsidRPr="007E734E" w:rsidRDefault="00F24ACD" w:rsidP="00F24ACD">
      <w:pPr>
        <w:pStyle w:val="NormalWeb"/>
        <w:spacing w:before="0" w:beforeAutospacing="0" w:after="0" w:afterAutospacing="0"/>
        <w:ind w:left="720" w:hanging="720"/>
        <w:contextualSpacing/>
        <w:jc w:val="both"/>
        <w:rPr>
          <w:rFonts w:ascii="Bahnschrift" w:hAnsi="Bahnschrift" w:cs="Arial"/>
          <w:sz w:val="22"/>
          <w:szCs w:val="22"/>
        </w:rPr>
      </w:pPr>
    </w:p>
    <w:p w14:paraId="3359DAE9" w14:textId="77777777" w:rsidR="00F24ACD" w:rsidRPr="007E734E" w:rsidRDefault="00F24ACD" w:rsidP="00F24ACD">
      <w:pPr>
        <w:pStyle w:val="NormalWeb"/>
        <w:spacing w:before="0" w:beforeAutospacing="0" w:after="0" w:afterAutospacing="0"/>
        <w:ind w:left="720" w:hanging="720"/>
        <w:contextualSpacing/>
        <w:jc w:val="both"/>
        <w:rPr>
          <w:rFonts w:ascii="Bahnschrift" w:hAnsi="Bahnschrift" w:cs="Arial"/>
          <w:sz w:val="22"/>
          <w:szCs w:val="22"/>
        </w:rPr>
      </w:pPr>
      <w:r w:rsidRPr="0020479E">
        <w:rPr>
          <w:rFonts w:ascii="Bahnschrift" w:hAnsi="Bahnschrift" w:cs="Arial"/>
          <w:sz w:val="22"/>
          <w:szCs w:val="22"/>
        </w:rPr>
        <w:t>Ahearn, B. (2024, August 26). Life lessons from a marine father: The power of discipline. influencePEOPLE. https://influencepeople.biz/life-lessons-from-a-marine-father-the-power-of-discipline/</w:t>
      </w:r>
    </w:p>
    <w:p w14:paraId="192FEC39" w14:textId="77777777" w:rsidR="00F24ACD" w:rsidRPr="007E734E" w:rsidRDefault="00F24ACD" w:rsidP="00F24ACD">
      <w:pPr>
        <w:pStyle w:val="NormalWeb"/>
        <w:spacing w:before="0" w:beforeAutospacing="0" w:after="0" w:afterAutospacing="0"/>
        <w:ind w:left="720" w:hanging="720"/>
        <w:contextualSpacing/>
        <w:jc w:val="both"/>
        <w:rPr>
          <w:rFonts w:ascii="Bahnschrift" w:hAnsi="Bahnschrift" w:cs="Arial"/>
          <w:sz w:val="22"/>
          <w:szCs w:val="22"/>
        </w:rPr>
      </w:pPr>
    </w:p>
    <w:p w14:paraId="5E85F66F" w14:textId="77777777" w:rsidR="00F24ACD" w:rsidRPr="007E734E" w:rsidRDefault="00F24ACD" w:rsidP="00F24ACD">
      <w:pPr>
        <w:pStyle w:val="NormalWeb"/>
        <w:spacing w:before="0" w:beforeAutospacing="0" w:after="0" w:afterAutospacing="0"/>
        <w:ind w:left="720" w:hanging="720"/>
        <w:contextualSpacing/>
        <w:jc w:val="both"/>
        <w:rPr>
          <w:rFonts w:ascii="Bahnschrift" w:hAnsi="Bahnschrift" w:cs="Arial"/>
          <w:sz w:val="22"/>
          <w:szCs w:val="22"/>
        </w:rPr>
      </w:pPr>
      <w:r w:rsidRPr="007E734E">
        <w:rPr>
          <w:rFonts w:ascii="Bahnschrift" w:hAnsi="Bahnschrift" w:cs="Arial"/>
          <w:sz w:val="22"/>
          <w:szCs w:val="22"/>
        </w:rPr>
        <w:t xml:space="preserve">An, J., Liu, Y., Sun, Y., &amp; Liu, C. (2020). Impact of work-family conflict, job stress and job satisfaction on seafarer performance. </w:t>
      </w:r>
      <w:r w:rsidRPr="007E734E">
        <w:rPr>
          <w:rFonts w:ascii="Bahnschrift" w:hAnsi="Bahnschrift" w:cs="Arial"/>
          <w:i/>
          <w:iCs/>
          <w:sz w:val="22"/>
          <w:szCs w:val="22"/>
        </w:rPr>
        <w:t>International Journal of Environmental Research and Public Health, 17</w:t>
      </w:r>
      <w:r w:rsidRPr="007E734E">
        <w:rPr>
          <w:rFonts w:ascii="Bahnschrift" w:hAnsi="Bahnschrift" w:cs="Arial"/>
          <w:sz w:val="22"/>
          <w:szCs w:val="22"/>
        </w:rPr>
        <w:t>(7), 2191. https://doi.org/10.3390/ijerph17072191</w:t>
      </w:r>
    </w:p>
    <w:p w14:paraId="544BF536" w14:textId="77777777" w:rsidR="00F24ACD" w:rsidRPr="007E734E" w:rsidRDefault="00F24ACD" w:rsidP="00F24ACD">
      <w:pPr>
        <w:pStyle w:val="NormalWeb"/>
        <w:spacing w:before="0" w:beforeAutospacing="0" w:after="0" w:afterAutospacing="0"/>
        <w:ind w:left="720" w:hanging="720"/>
        <w:contextualSpacing/>
        <w:jc w:val="both"/>
        <w:rPr>
          <w:rFonts w:ascii="Bahnschrift" w:hAnsi="Bahnschrift" w:cs="Arial"/>
          <w:sz w:val="22"/>
          <w:szCs w:val="22"/>
        </w:rPr>
      </w:pPr>
    </w:p>
    <w:p w14:paraId="010B003F" w14:textId="77777777" w:rsidR="00F24ACD" w:rsidRPr="007E734E" w:rsidRDefault="00F24ACD" w:rsidP="00F24ACD">
      <w:pPr>
        <w:pStyle w:val="NormalWeb"/>
        <w:spacing w:before="0" w:beforeAutospacing="0" w:after="0" w:afterAutospacing="0"/>
        <w:ind w:left="720" w:hanging="720"/>
        <w:contextualSpacing/>
        <w:jc w:val="both"/>
        <w:rPr>
          <w:rFonts w:ascii="Bahnschrift" w:hAnsi="Bahnschrift" w:cs="Arial"/>
          <w:sz w:val="22"/>
          <w:szCs w:val="22"/>
        </w:rPr>
      </w:pPr>
      <w:r w:rsidRPr="007E734E">
        <w:rPr>
          <w:rFonts w:ascii="Bahnschrift" w:hAnsi="Bahnschrift" w:cs="Arial"/>
          <w:sz w:val="22"/>
          <w:szCs w:val="22"/>
        </w:rPr>
        <w:t xml:space="preserve">Becker, G. S. (1993). </w:t>
      </w:r>
      <w:r w:rsidRPr="007E734E">
        <w:rPr>
          <w:rFonts w:ascii="Bahnschrift" w:hAnsi="Bahnschrift" w:cs="Arial"/>
          <w:i/>
          <w:iCs/>
          <w:sz w:val="22"/>
          <w:szCs w:val="22"/>
        </w:rPr>
        <w:t>Human capital: A theoretical and empirical analysis, with special reference to education</w:t>
      </w:r>
      <w:r w:rsidRPr="007E734E">
        <w:rPr>
          <w:rFonts w:ascii="Bahnschrift" w:hAnsi="Bahnschrift" w:cs="Arial"/>
          <w:sz w:val="22"/>
          <w:szCs w:val="22"/>
        </w:rPr>
        <w:t xml:space="preserve"> (3rd ed.). University of Chicago Press. https://doi.org/10.7208/chicago/9780226041223.001.0001</w:t>
      </w:r>
    </w:p>
    <w:p w14:paraId="1E152C62" w14:textId="77777777" w:rsidR="00F24ACD" w:rsidRPr="007E734E" w:rsidRDefault="00F24ACD" w:rsidP="00F24ACD">
      <w:pPr>
        <w:pStyle w:val="NormalWeb"/>
        <w:spacing w:before="0" w:beforeAutospacing="0" w:after="0" w:afterAutospacing="0"/>
        <w:ind w:left="720" w:hanging="720"/>
        <w:contextualSpacing/>
        <w:jc w:val="both"/>
        <w:rPr>
          <w:rFonts w:ascii="Bahnschrift" w:hAnsi="Bahnschrift" w:cs="Arial"/>
          <w:sz w:val="22"/>
          <w:szCs w:val="22"/>
        </w:rPr>
      </w:pPr>
    </w:p>
    <w:p w14:paraId="2D54679F" w14:textId="77777777" w:rsidR="00F24ACD" w:rsidRPr="007E734E" w:rsidRDefault="00F24ACD" w:rsidP="00F24ACD">
      <w:pPr>
        <w:pStyle w:val="NormalWeb"/>
        <w:spacing w:before="0" w:beforeAutospacing="0" w:after="0" w:afterAutospacing="0"/>
        <w:ind w:left="720" w:hanging="720"/>
        <w:contextualSpacing/>
        <w:jc w:val="both"/>
        <w:rPr>
          <w:rFonts w:ascii="Bahnschrift" w:hAnsi="Bahnschrift" w:cs="Arial"/>
          <w:sz w:val="22"/>
          <w:szCs w:val="22"/>
        </w:rPr>
      </w:pPr>
      <w:r w:rsidRPr="007E734E">
        <w:rPr>
          <w:rFonts w:ascii="Bahnschrift" w:hAnsi="Bahnschrift" w:cs="Arial"/>
          <w:sz w:val="22"/>
          <w:szCs w:val="22"/>
        </w:rPr>
        <w:t xml:space="preserve">Braun, V., &amp; Clarke, V. (2006). Using thematic analysis in psychology. </w:t>
      </w:r>
      <w:r w:rsidRPr="007E734E">
        <w:rPr>
          <w:rFonts w:ascii="Bahnschrift" w:hAnsi="Bahnschrift" w:cs="Arial"/>
          <w:i/>
          <w:iCs/>
          <w:sz w:val="22"/>
          <w:szCs w:val="22"/>
        </w:rPr>
        <w:t>Qualitative Research in Psychology, 3</w:t>
      </w:r>
      <w:r w:rsidRPr="007E734E">
        <w:rPr>
          <w:rFonts w:ascii="Bahnschrift" w:hAnsi="Bahnschrift" w:cs="Arial"/>
          <w:sz w:val="22"/>
          <w:szCs w:val="22"/>
        </w:rPr>
        <w:t>(2), 77–101. https://doi.org/10.1191/1478088706qp063oa</w:t>
      </w:r>
    </w:p>
    <w:p w14:paraId="1A1810B3" w14:textId="77777777" w:rsidR="00F24ACD" w:rsidRPr="007E734E" w:rsidRDefault="00F24ACD" w:rsidP="00F24ACD">
      <w:pPr>
        <w:pStyle w:val="NormalWeb"/>
        <w:spacing w:before="0" w:beforeAutospacing="0" w:after="0" w:afterAutospacing="0"/>
        <w:ind w:left="720" w:hanging="720"/>
        <w:contextualSpacing/>
        <w:jc w:val="both"/>
        <w:rPr>
          <w:rFonts w:ascii="Bahnschrift" w:hAnsi="Bahnschrift" w:cs="Arial"/>
          <w:sz w:val="22"/>
          <w:szCs w:val="22"/>
        </w:rPr>
      </w:pPr>
    </w:p>
    <w:p w14:paraId="28455B43" w14:textId="77777777" w:rsidR="00F24ACD" w:rsidRPr="007E734E" w:rsidRDefault="00F24ACD" w:rsidP="00F24ACD">
      <w:pPr>
        <w:pStyle w:val="NormalWeb"/>
        <w:spacing w:before="0" w:beforeAutospacing="0" w:after="0" w:afterAutospacing="0"/>
        <w:ind w:left="720" w:hanging="720"/>
        <w:contextualSpacing/>
        <w:jc w:val="both"/>
        <w:rPr>
          <w:rFonts w:ascii="Bahnschrift" w:hAnsi="Bahnschrift" w:cs="Arial"/>
          <w:sz w:val="22"/>
          <w:szCs w:val="22"/>
        </w:rPr>
      </w:pPr>
      <w:r w:rsidRPr="007E734E">
        <w:rPr>
          <w:rFonts w:ascii="Bahnschrift" w:hAnsi="Bahnschrift" w:cs="Arial"/>
          <w:sz w:val="22"/>
          <w:szCs w:val="22"/>
        </w:rPr>
        <w:t xml:space="preserve">Caesar, L. D. (2024). Emerging dynamics of training, recruiting and retaining a sustainable maritime workforce: A skill resilience framework. </w:t>
      </w:r>
      <w:r w:rsidRPr="007E734E">
        <w:rPr>
          <w:rFonts w:ascii="Bahnschrift" w:hAnsi="Bahnschrift" w:cs="Arial"/>
          <w:i/>
          <w:iCs/>
          <w:sz w:val="22"/>
          <w:szCs w:val="22"/>
        </w:rPr>
        <w:t>Sustainability, 16</w:t>
      </w:r>
      <w:r w:rsidRPr="007E734E">
        <w:rPr>
          <w:rFonts w:ascii="Bahnschrift" w:hAnsi="Bahnschrift" w:cs="Arial"/>
          <w:sz w:val="22"/>
          <w:szCs w:val="22"/>
        </w:rPr>
        <w:t>(1), 239. https://doi.org/10.3390/su16010239</w:t>
      </w:r>
    </w:p>
    <w:p w14:paraId="07CAEC54" w14:textId="77777777" w:rsidR="00F24ACD" w:rsidRPr="007E734E" w:rsidRDefault="00F24ACD" w:rsidP="00F24ACD">
      <w:pPr>
        <w:pStyle w:val="NormalWeb"/>
        <w:spacing w:before="0" w:beforeAutospacing="0" w:after="0" w:afterAutospacing="0"/>
        <w:ind w:left="720" w:hanging="720"/>
        <w:contextualSpacing/>
        <w:jc w:val="both"/>
        <w:rPr>
          <w:rFonts w:ascii="Bahnschrift" w:hAnsi="Bahnschrift" w:cs="Arial"/>
          <w:sz w:val="22"/>
          <w:szCs w:val="22"/>
        </w:rPr>
      </w:pPr>
    </w:p>
    <w:p w14:paraId="0ED8F938" w14:textId="77777777" w:rsidR="00F24ACD" w:rsidRPr="007E734E" w:rsidRDefault="00F24ACD" w:rsidP="00F24ACD">
      <w:pPr>
        <w:pStyle w:val="NormalWeb"/>
        <w:spacing w:before="0" w:beforeAutospacing="0" w:after="0" w:afterAutospacing="0"/>
        <w:ind w:left="720" w:hanging="720"/>
        <w:contextualSpacing/>
        <w:jc w:val="both"/>
        <w:rPr>
          <w:rFonts w:ascii="Bahnschrift" w:hAnsi="Bahnschrift" w:cs="Arial"/>
          <w:sz w:val="22"/>
          <w:szCs w:val="22"/>
        </w:rPr>
      </w:pPr>
      <w:r w:rsidRPr="007E734E">
        <w:rPr>
          <w:rFonts w:ascii="Bahnschrift" w:hAnsi="Bahnschrift" w:cs="Arial"/>
          <w:sz w:val="22"/>
          <w:szCs w:val="22"/>
        </w:rPr>
        <w:t xml:space="preserve">Carotenuto, A., Molino, I., Fasanaro, A. M., &amp; Amenta, F. (2012). Psychological stress in seafarers: A review. </w:t>
      </w:r>
      <w:r w:rsidRPr="007E734E">
        <w:rPr>
          <w:rStyle w:val="Emphasis"/>
          <w:rFonts w:ascii="Bahnschrift" w:hAnsi="Bahnschrift" w:cs="Arial"/>
          <w:sz w:val="22"/>
          <w:szCs w:val="22"/>
        </w:rPr>
        <w:t>International Maritime Health, 63</w:t>
      </w:r>
      <w:r w:rsidRPr="007E734E">
        <w:rPr>
          <w:rFonts w:ascii="Bahnschrift" w:hAnsi="Bahnschrift" w:cs="Arial"/>
          <w:sz w:val="22"/>
          <w:szCs w:val="22"/>
        </w:rPr>
        <w:t xml:space="preserve">(4), 188–194. </w:t>
      </w:r>
      <w:hyperlink r:id="rId7" w:tgtFrame="_new" w:history="1">
        <w:r w:rsidRPr="007E734E">
          <w:rPr>
            <w:rStyle w:val="Hyperlink"/>
            <w:rFonts w:ascii="Bahnschrift" w:hAnsi="Bahnschrift" w:cs="Arial"/>
            <w:color w:val="auto"/>
            <w:sz w:val="22"/>
            <w:szCs w:val="22"/>
            <w:u w:val="none"/>
          </w:rPr>
          <w:t>https://journals.viamedica.pl/international_maritime_health/article/view/26129</w:t>
        </w:r>
      </w:hyperlink>
    </w:p>
    <w:p w14:paraId="34DD98FF" w14:textId="77777777" w:rsidR="00F24ACD" w:rsidRPr="007E734E" w:rsidRDefault="00F24ACD" w:rsidP="00F24ACD">
      <w:pPr>
        <w:pStyle w:val="NormalWeb"/>
        <w:spacing w:before="0" w:beforeAutospacing="0" w:after="0" w:afterAutospacing="0"/>
        <w:ind w:left="720" w:hanging="720"/>
        <w:contextualSpacing/>
        <w:jc w:val="both"/>
        <w:rPr>
          <w:rFonts w:ascii="Bahnschrift" w:hAnsi="Bahnschrift" w:cs="Arial"/>
          <w:sz w:val="22"/>
          <w:szCs w:val="22"/>
        </w:rPr>
      </w:pPr>
    </w:p>
    <w:p w14:paraId="344340F2" w14:textId="77777777" w:rsidR="00F24ACD" w:rsidRPr="007E734E" w:rsidRDefault="00F24ACD" w:rsidP="00F24ACD">
      <w:pPr>
        <w:pStyle w:val="NormalWeb"/>
        <w:spacing w:before="0" w:beforeAutospacing="0" w:after="0" w:afterAutospacing="0"/>
        <w:ind w:left="720" w:hanging="720"/>
        <w:contextualSpacing/>
        <w:jc w:val="both"/>
        <w:rPr>
          <w:rFonts w:ascii="Bahnschrift" w:hAnsi="Bahnschrift" w:cs="Arial"/>
          <w:sz w:val="22"/>
          <w:szCs w:val="22"/>
        </w:rPr>
      </w:pPr>
      <w:r w:rsidRPr="007E734E">
        <w:rPr>
          <w:rFonts w:ascii="Bahnschrift" w:hAnsi="Bahnschrift" w:cs="Arial"/>
          <w:sz w:val="22"/>
          <w:szCs w:val="22"/>
        </w:rPr>
        <w:t xml:space="preserve">Diocos, P. E. D. (2025). Opportunities and job satisfaction of Filipino seafarers: Inputs to an enhanced welfare program. </w:t>
      </w:r>
      <w:r w:rsidRPr="007E734E">
        <w:rPr>
          <w:rFonts w:ascii="Bahnschrift" w:hAnsi="Bahnschrift" w:cs="Arial"/>
          <w:i/>
          <w:iCs/>
          <w:sz w:val="22"/>
          <w:szCs w:val="22"/>
        </w:rPr>
        <w:t>Journal of Maritime Research, 22</w:t>
      </w:r>
      <w:r w:rsidRPr="007E734E">
        <w:rPr>
          <w:rFonts w:ascii="Bahnschrift" w:hAnsi="Bahnschrift" w:cs="Arial"/>
          <w:sz w:val="22"/>
          <w:szCs w:val="22"/>
        </w:rPr>
        <w:t>(2), 264-269. DOI not available in the published article.</w:t>
      </w:r>
    </w:p>
    <w:p w14:paraId="131F5EFE" w14:textId="77777777" w:rsidR="00F24ACD" w:rsidRPr="007E734E" w:rsidRDefault="00F24ACD" w:rsidP="00F24ACD">
      <w:pPr>
        <w:pStyle w:val="NormalWeb"/>
        <w:spacing w:before="0" w:beforeAutospacing="0" w:after="0" w:afterAutospacing="0"/>
        <w:ind w:left="720" w:hanging="720"/>
        <w:contextualSpacing/>
        <w:jc w:val="both"/>
        <w:rPr>
          <w:rFonts w:ascii="Bahnschrift" w:hAnsi="Bahnschrift" w:cs="Arial"/>
          <w:sz w:val="22"/>
          <w:szCs w:val="22"/>
        </w:rPr>
      </w:pPr>
    </w:p>
    <w:p w14:paraId="358BF4A7" w14:textId="77777777" w:rsidR="00F24ACD" w:rsidRPr="007E734E" w:rsidRDefault="00F24ACD" w:rsidP="00F24ACD">
      <w:pPr>
        <w:pStyle w:val="NormalWeb"/>
        <w:spacing w:before="0" w:beforeAutospacing="0" w:after="0" w:afterAutospacing="0"/>
        <w:ind w:left="720" w:hanging="720"/>
        <w:contextualSpacing/>
        <w:jc w:val="both"/>
        <w:rPr>
          <w:rFonts w:ascii="Bahnschrift" w:hAnsi="Bahnschrift" w:cs="Arial"/>
          <w:sz w:val="22"/>
          <w:szCs w:val="22"/>
        </w:rPr>
      </w:pPr>
      <w:r w:rsidRPr="007E734E">
        <w:rPr>
          <w:rFonts w:ascii="Bahnschrift" w:hAnsi="Bahnschrift" w:cs="Arial"/>
          <w:sz w:val="22"/>
          <w:szCs w:val="22"/>
        </w:rPr>
        <w:t xml:space="preserve">Galam, R. (2025). The Philippines and seafaring labour export: State, non-state and international actors in the assembly and employability of Filipino seafarers. </w:t>
      </w:r>
      <w:r w:rsidRPr="007E734E">
        <w:rPr>
          <w:rFonts w:ascii="Bahnschrift" w:hAnsi="Bahnschrift" w:cs="Arial"/>
          <w:i/>
          <w:iCs/>
          <w:sz w:val="22"/>
          <w:szCs w:val="22"/>
        </w:rPr>
        <w:t>International Migration, 63</w:t>
      </w:r>
      <w:r w:rsidRPr="007E734E">
        <w:rPr>
          <w:rFonts w:ascii="Bahnschrift" w:hAnsi="Bahnschrift" w:cs="Arial"/>
          <w:sz w:val="22"/>
          <w:szCs w:val="22"/>
        </w:rPr>
        <w:t>(1), e13364. https://doi.org/10.1111/imig.13364</w:t>
      </w:r>
    </w:p>
    <w:p w14:paraId="5535799B" w14:textId="77777777" w:rsidR="00F24ACD" w:rsidRPr="007E734E" w:rsidRDefault="00F24ACD" w:rsidP="00F24ACD">
      <w:pPr>
        <w:pStyle w:val="NormalWeb"/>
        <w:spacing w:before="0" w:beforeAutospacing="0" w:after="0" w:afterAutospacing="0"/>
        <w:contextualSpacing/>
        <w:jc w:val="both"/>
        <w:rPr>
          <w:rFonts w:ascii="Bahnschrift" w:hAnsi="Bahnschrift" w:cs="Arial"/>
          <w:sz w:val="22"/>
          <w:szCs w:val="22"/>
        </w:rPr>
      </w:pPr>
    </w:p>
    <w:p w14:paraId="7F8703AD" w14:textId="77777777" w:rsidR="00F24ACD" w:rsidRPr="007E734E" w:rsidRDefault="00F24ACD" w:rsidP="00F24ACD">
      <w:pPr>
        <w:pStyle w:val="NormalWeb"/>
        <w:spacing w:before="0" w:beforeAutospacing="0" w:after="0" w:afterAutospacing="0"/>
        <w:ind w:left="720" w:hanging="720"/>
        <w:contextualSpacing/>
        <w:jc w:val="both"/>
        <w:rPr>
          <w:rFonts w:ascii="Bahnschrift" w:hAnsi="Bahnschrift" w:cs="Arial"/>
          <w:sz w:val="22"/>
          <w:szCs w:val="22"/>
        </w:rPr>
      </w:pPr>
      <w:r w:rsidRPr="007E734E">
        <w:rPr>
          <w:rFonts w:ascii="Bahnschrift" w:hAnsi="Bahnschrift" w:cs="Arial"/>
          <w:sz w:val="22"/>
          <w:szCs w:val="22"/>
        </w:rPr>
        <w:t xml:space="preserve">Geron, G. D. (2024). Career attractions and challenges among active seafarers. </w:t>
      </w:r>
      <w:r w:rsidRPr="007E734E">
        <w:rPr>
          <w:rFonts w:ascii="Bahnschrift" w:hAnsi="Bahnschrift" w:cs="Arial"/>
          <w:i/>
          <w:iCs/>
          <w:sz w:val="22"/>
          <w:szCs w:val="22"/>
        </w:rPr>
        <w:t>International Journal of Research Studies in Education, 13</w:t>
      </w:r>
      <w:r w:rsidRPr="007E734E">
        <w:rPr>
          <w:rFonts w:ascii="Bahnschrift" w:hAnsi="Bahnschrift" w:cs="Arial"/>
          <w:sz w:val="22"/>
          <w:szCs w:val="22"/>
        </w:rPr>
        <w:t>(10). https://doi.org/10.5861/ijrse.2024.24052</w:t>
      </w:r>
    </w:p>
    <w:p w14:paraId="79A4F1EA" w14:textId="77777777" w:rsidR="00F24ACD" w:rsidRPr="007E734E" w:rsidRDefault="00F24ACD" w:rsidP="00F24ACD">
      <w:pPr>
        <w:pStyle w:val="NormalWeb"/>
        <w:spacing w:before="0" w:beforeAutospacing="0" w:after="0" w:afterAutospacing="0"/>
        <w:ind w:left="720" w:hanging="720"/>
        <w:contextualSpacing/>
        <w:jc w:val="both"/>
        <w:rPr>
          <w:rFonts w:ascii="Bahnschrift" w:hAnsi="Bahnschrift" w:cs="Arial"/>
          <w:sz w:val="22"/>
          <w:szCs w:val="22"/>
        </w:rPr>
      </w:pPr>
    </w:p>
    <w:p w14:paraId="47E197C4" w14:textId="77777777" w:rsidR="00F24ACD" w:rsidRPr="007E734E" w:rsidRDefault="00F24ACD" w:rsidP="00F24ACD">
      <w:pPr>
        <w:pStyle w:val="NormalWeb"/>
        <w:spacing w:before="0" w:beforeAutospacing="0" w:after="0" w:afterAutospacing="0"/>
        <w:ind w:left="720" w:hanging="720"/>
        <w:contextualSpacing/>
        <w:jc w:val="both"/>
        <w:rPr>
          <w:rFonts w:ascii="Bahnschrift" w:hAnsi="Bahnschrift" w:cs="Arial"/>
          <w:sz w:val="22"/>
          <w:szCs w:val="22"/>
        </w:rPr>
      </w:pPr>
      <w:r w:rsidRPr="007E734E">
        <w:rPr>
          <w:rFonts w:ascii="Bahnschrift" w:hAnsi="Bahnschrift" w:cs="Arial"/>
          <w:sz w:val="22"/>
          <w:szCs w:val="22"/>
        </w:rPr>
        <w:t xml:space="preserve">Glaveli, N., Bissias, I., Manolitzas, P., &amp; Christofakis, M. (2026). Assessing job satisfaction for seafarers. </w:t>
      </w:r>
      <w:r w:rsidRPr="007E734E">
        <w:rPr>
          <w:rFonts w:ascii="Bahnschrift" w:hAnsi="Bahnschrift" w:cs="Arial"/>
          <w:i/>
          <w:iCs/>
          <w:sz w:val="22"/>
          <w:szCs w:val="22"/>
        </w:rPr>
        <w:t>Maritime Business Review, 11</w:t>
      </w:r>
      <w:r w:rsidRPr="007E734E">
        <w:rPr>
          <w:rFonts w:ascii="Bahnschrift" w:hAnsi="Bahnschrift" w:cs="Arial"/>
          <w:sz w:val="22"/>
          <w:szCs w:val="22"/>
        </w:rPr>
        <w:t>(2), 149-164. https://doi.org/10.1108/MABR-08-2024-0063</w:t>
      </w:r>
    </w:p>
    <w:p w14:paraId="34881A7D" w14:textId="77777777" w:rsidR="00F24ACD" w:rsidRPr="007E734E" w:rsidRDefault="00F24ACD" w:rsidP="00F24ACD">
      <w:pPr>
        <w:pStyle w:val="NormalWeb"/>
        <w:spacing w:before="0" w:beforeAutospacing="0" w:after="0" w:afterAutospacing="0"/>
        <w:ind w:left="720" w:hanging="720"/>
        <w:contextualSpacing/>
        <w:jc w:val="both"/>
        <w:rPr>
          <w:rFonts w:ascii="Bahnschrift" w:hAnsi="Bahnschrift" w:cs="Arial"/>
          <w:sz w:val="22"/>
          <w:szCs w:val="22"/>
        </w:rPr>
      </w:pPr>
    </w:p>
    <w:p w14:paraId="646CF08B" w14:textId="77777777" w:rsidR="00F24ACD" w:rsidRPr="007E734E" w:rsidRDefault="00F24ACD" w:rsidP="00F24ACD">
      <w:pPr>
        <w:pStyle w:val="NormalWeb"/>
        <w:spacing w:before="0" w:beforeAutospacing="0" w:after="0" w:afterAutospacing="0"/>
        <w:ind w:left="720" w:hanging="720"/>
        <w:contextualSpacing/>
        <w:jc w:val="both"/>
        <w:rPr>
          <w:rFonts w:ascii="Bahnschrift" w:hAnsi="Bahnschrift" w:cs="Arial"/>
          <w:sz w:val="22"/>
          <w:szCs w:val="22"/>
        </w:rPr>
      </w:pPr>
      <w:r w:rsidRPr="007E734E">
        <w:rPr>
          <w:rFonts w:ascii="Bahnschrift" w:hAnsi="Bahnschrift" w:cs="Arial"/>
          <w:sz w:val="22"/>
          <w:szCs w:val="22"/>
        </w:rPr>
        <w:t xml:space="preserve">Gusyev, P. (2021, February 8). </w:t>
      </w:r>
      <w:r w:rsidRPr="007E734E">
        <w:rPr>
          <w:rFonts w:ascii="Bahnschrift" w:hAnsi="Bahnschrift" w:cs="Arial"/>
          <w:i/>
          <w:iCs/>
          <w:sz w:val="22"/>
          <w:szCs w:val="22"/>
        </w:rPr>
        <w:t>Time management onboard basics</w:t>
      </w:r>
      <w:r w:rsidRPr="007E734E">
        <w:rPr>
          <w:rFonts w:ascii="Bahnschrift" w:hAnsi="Bahnschrift" w:cs="Arial"/>
          <w:sz w:val="22"/>
          <w:szCs w:val="22"/>
        </w:rPr>
        <w:t>. LinkedIn. https://www.linkedin.com/pulse/time-management-onboard-basics-pavlo-gusyev</w:t>
      </w:r>
    </w:p>
    <w:p w14:paraId="4254FB1C" w14:textId="77777777" w:rsidR="00F24ACD" w:rsidRPr="007E734E" w:rsidRDefault="00F24ACD" w:rsidP="00F24ACD">
      <w:pPr>
        <w:pStyle w:val="NormalWeb"/>
        <w:spacing w:beforeAutospacing="0" w:afterAutospacing="0"/>
        <w:ind w:left="720" w:hanging="720"/>
        <w:contextualSpacing/>
        <w:jc w:val="both"/>
        <w:rPr>
          <w:rFonts w:ascii="Bahnschrift" w:hAnsi="Bahnschrift" w:cs="Arial"/>
          <w:sz w:val="22"/>
          <w:szCs w:val="22"/>
        </w:rPr>
      </w:pPr>
    </w:p>
    <w:p w14:paraId="0C65726A" w14:textId="27B228FE" w:rsidR="00F24ACD" w:rsidRPr="007E734E" w:rsidRDefault="00F24ACD" w:rsidP="00F24ACD">
      <w:pPr>
        <w:pStyle w:val="NormalWeb"/>
        <w:spacing w:before="0" w:beforeAutospacing="0" w:after="0" w:afterAutospacing="0"/>
        <w:ind w:left="720" w:hanging="720"/>
        <w:contextualSpacing/>
        <w:jc w:val="both"/>
        <w:rPr>
          <w:rFonts w:ascii="Bahnschrift" w:hAnsi="Bahnschrift" w:cs="Arial"/>
          <w:sz w:val="22"/>
          <w:szCs w:val="22"/>
        </w:rPr>
      </w:pPr>
      <w:r w:rsidRPr="007E734E">
        <w:rPr>
          <w:rFonts w:ascii="Bahnschrift" w:hAnsi="Bahnschrift" w:cs="Arial"/>
          <w:sz w:val="22"/>
          <w:szCs w:val="22"/>
        </w:rPr>
        <w:t xml:space="preserve">Kolb, A. Y., &amp; Kolb, D. A. (2022). Experiential learning theory as a guide for experiential educators in higher education. </w:t>
      </w:r>
      <w:r w:rsidRPr="007E734E">
        <w:rPr>
          <w:rFonts w:ascii="Bahnschrift" w:hAnsi="Bahnschrift" w:cs="Arial"/>
          <w:i/>
          <w:iCs/>
          <w:sz w:val="22"/>
          <w:szCs w:val="22"/>
        </w:rPr>
        <w:t>Experiential Learning and</w:t>
      </w:r>
      <w:r w:rsidRPr="007E734E">
        <w:rPr>
          <w:rFonts w:ascii="Bahnschrift" w:hAnsi="Bahnschrift" w:cs="Arial"/>
          <w:sz w:val="22"/>
          <w:szCs w:val="22"/>
        </w:rPr>
        <w:t xml:space="preserve"> </w:t>
      </w:r>
      <w:r w:rsidRPr="007E734E">
        <w:rPr>
          <w:rFonts w:ascii="Bahnschrift" w:hAnsi="Bahnschrift" w:cs="Arial"/>
          <w:i/>
          <w:iCs/>
          <w:sz w:val="22"/>
          <w:szCs w:val="22"/>
        </w:rPr>
        <w:t>Teaching in Higher Education, 1</w:t>
      </w:r>
      <w:r w:rsidRPr="007E734E">
        <w:rPr>
          <w:rFonts w:ascii="Bahnschrift" w:hAnsi="Bahnschrift" w:cs="Arial"/>
          <w:sz w:val="22"/>
          <w:szCs w:val="22"/>
        </w:rPr>
        <w:t>(1), 7-44. https://doi.org/10.46787/elthe.v1i1.3362</w:t>
      </w:r>
    </w:p>
    <w:p w14:paraId="2AE31125" w14:textId="77777777" w:rsidR="00F24ACD" w:rsidRPr="007E734E" w:rsidRDefault="00F24ACD" w:rsidP="00F24ACD">
      <w:pPr>
        <w:pStyle w:val="NormalWeb"/>
        <w:spacing w:before="0" w:beforeAutospacing="0" w:after="0" w:afterAutospacing="0"/>
        <w:ind w:left="720" w:hanging="720"/>
        <w:contextualSpacing/>
        <w:jc w:val="both"/>
        <w:rPr>
          <w:rFonts w:ascii="Bahnschrift" w:hAnsi="Bahnschrift" w:cs="Arial"/>
          <w:sz w:val="22"/>
          <w:szCs w:val="22"/>
        </w:rPr>
      </w:pPr>
      <w:r w:rsidRPr="007E734E">
        <w:rPr>
          <w:rFonts w:ascii="Bahnschrift" w:hAnsi="Bahnschrift" w:cs="Arial"/>
          <w:sz w:val="22"/>
          <w:szCs w:val="22"/>
        </w:rPr>
        <w:lastRenderedPageBreak/>
        <w:t xml:space="preserve">Meštrović, T., Pavić, I., Maljković, M., &amp; Androjna, A. (2024). Challenges for the education and training of seafarers in the context of autonomous shipping: Bibliometric analysis and systematic literature review. </w:t>
      </w:r>
      <w:r w:rsidRPr="007E734E">
        <w:rPr>
          <w:rStyle w:val="Emphasis"/>
          <w:rFonts w:ascii="Bahnschrift" w:hAnsi="Bahnschrift" w:cs="Arial"/>
          <w:sz w:val="22"/>
          <w:szCs w:val="22"/>
        </w:rPr>
        <w:t>Applied Sciences, 14</w:t>
      </w:r>
      <w:r w:rsidRPr="007E734E">
        <w:rPr>
          <w:rFonts w:ascii="Bahnschrift" w:hAnsi="Bahnschrift" w:cs="Arial"/>
          <w:sz w:val="22"/>
          <w:szCs w:val="22"/>
        </w:rPr>
        <w:t xml:space="preserve">(8), 3173. </w:t>
      </w:r>
      <w:hyperlink r:id="rId8" w:anchor="metrics" w:tgtFrame="_new" w:history="1">
        <w:r w:rsidRPr="007E734E">
          <w:rPr>
            <w:rStyle w:val="Hyperlink"/>
            <w:rFonts w:ascii="Bahnschrift" w:hAnsi="Bahnschrift" w:cs="Arial"/>
            <w:color w:val="auto"/>
            <w:sz w:val="22"/>
            <w:szCs w:val="22"/>
            <w:u w:val="none"/>
          </w:rPr>
          <w:t>https://www.mdpi.com/2076-3417/14/8/3173#metrics</w:t>
        </w:r>
      </w:hyperlink>
    </w:p>
    <w:p w14:paraId="64157A9A" w14:textId="77777777" w:rsidR="00F24ACD" w:rsidRPr="007E734E" w:rsidRDefault="00F24ACD" w:rsidP="00F24ACD">
      <w:pPr>
        <w:pStyle w:val="NormalWeb"/>
        <w:spacing w:before="0" w:beforeAutospacing="0" w:after="0" w:afterAutospacing="0"/>
        <w:ind w:left="720" w:hanging="720"/>
        <w:contextualSpacing/>
        <w:jc w:val="both"/>
        <w:rPr>
          <w:rFonts w:ascii="Bahnschrift" w:hAnsi="Bahnschrift" w:cs="Arial"/>
          <w:sz w:val="22"/>
          <w:szCs w:val="22"/>
        </w:rPr>
      </w:pPr>
    </w:p>
    <w:p w14:paraId="270D4EB2" w14:textId="77777777" w:rsidR="00F24ACD" w:rsidRPr="007E734E" w:rsidRDefault="00F24ACD" w:rsidP="00F24ACD">
      <w:pPr>
        <w:pStyle w:val="NormalWeb"/>
        <w:spacing w:before="0" w:beforeAutospacing="0" w:after="0" w:afterAutospacing="0"/>
        <w:ind w:left="720" w:hanging="720"/>
        <w:contextualSpacing/>
        <w:jc w:val="both"/>
        <w:rPr>
          <w:rFonts w:ascii="Bahnschrift" w:hAnsi="Bahnschrift" w:cs="Arial"/>
          <w:sz w:val="22"/>
          <w:szCs w:val="22"/>
        </w:rPr>
      </w:pPr>
      <w:r w:rsidRPr="007E734E">
        <w:rPr>
          <w:rFonts w:ascii="Bahnschrift" w:hAnsi="Bahnschrift" w:cs="Arial"/>
          <w:sz w:val="22"/>
          <w:szCs w:val="22"/>
        </w:rPr>
        <w:t xml:space="preserve">Mori, Y. (2025). </w:t>
      </w:r>
      <w:r w:rsidRPr="007E734E">
        <w:rPr>
          <w:rFonts w:ascii="Bahnschrift" w:hAnsi="Bahnschrift" w:cs="Arial"/>
          <w:i/>
          <w:iCs/>
          <w:sz w:val="22"/>
          <w:szCs w:val="22"/>
        </w:rPr>
        <w:t>An analysis of challenges and impacts of different trends/factors on the implementation of onboard training: Perspectives from maritime education and training institutions</w:t>
      </w:r>
      <w:r w:rsidRPr="007E734E">
        <w:rPr>
          <w:rFonts w:ascii="Bahnschrift" w:hAnsi="Bahnschrift" w:cs="Arial"/>
          <w:sz w:val="22"/>
          <w:szCs w:val="22"/>
        </w:rPr>
        <w:t>. AI &amp; Society. https://doi.org/10.1007/s10111-025-00803-y</w:t>
      </w:r>
    </w:p>
    <w:p w14:paraId="4490D9F5" w14:textId="77777777" w:rsidR="00F24ACD" w:rsidRPr="007E734E" w:rsidRDefault="00F24ACD" w:rsidP="00F24ACD">
      <w:pPr>
        <w:pStyle w:val="NormalWeb"/>
        <w:spacing w:before="0" w:beforeAutospacing="0" w:after="0" w:afterAutospacing="0"/>
        <w:ind w:left="720" w:hanging="720"/>
        <w:contextualSpacing/>
        <w:jc w:val="both"/>
        <w:rPr>
          <w:rFonts w:ascii="Bahnschrift" w:hAnsi="Bahnschrift" w:cs="Arial"/>
          <w:sz w:val="22"/>
          <w:szCs w:val="22"/>
        </w:rPr>
      </w:pPr>
    </w:p>
    <w:p w14:paraId="040656F0" w14:textId="77777777" w:rsidR="00F24ACD" w:rsidRPr="007E734E" w:rsidRDefault="00F24ACD" w:rsidP="00F24ACD">
      <w:pPr>
        <w:pStyle w:val="NormalWeb"/>
        <w:spacing w:before="0" w:beforeAutospacing="0" w:after="0" w:afterAutospacing="0"/>
        <w:ind w:left="720" w:hanging="720"/>
        <w:contextualSpacing/>
        <w:jc w:val="both"/>
        <w:rPr>
          <w:rFonts w:ascii="Bahnschrift" w:hAnsi="Bahnschrift" w:cs="Arial"/>
          <w:sz w:val="22"/>
          <w:szCs w:val="22"/>
        </w:rPr>
      </w:pPr>
      <w:r w:rsidRPr="007E734E">
        <w:rPr>
          <w:rFonts w:ascii="Bahnschrift" w:hAnsi="Bahnschrift" w:cs="Arial"/>
          <w:sz w:val="22"/>
          <w:szCs w:val="22"/>
        </w:rPr>
        <w:t xml:space="preserve">Mori, Y., &amp; Manuel, M. E. (2023). An exploration of the theoretical foundations of onboard seafarer training: A systematic review of the literature. TransNav: </w:t>
      </w:r>
      <w:r w:rsidRPr="007E734E">
        <w:rPr>
          <w:rFonts w:ascii="Bahnschrift" w:hAnsi="Bahnschrift" w:cs="Arial"/>
          <w:i/>
          <w:iCs/>
          <w:sz w:val="22"/>
          <w:szCs w:val="22"/>
        </w:rPr>
        <w:t>International Journal on Marine Navigation and Safety of Sea Transportation, 17</w:t>
      </w:r>
      <w:r w:rsidRPr="007E734E">
        <w:rPr>
          <w:rFonts w:ascii="Bahnschrift" w:hAnsi="Bahnschrift" w:cs="Arial"/>
          <w:sz w:val="22"/>
          <w:szCs w:val="22"/>
        </w:rPr>
        <w:t>(4), 913-928. https://doi.org/10.12716/1001.17.04.18</w:t>
      </w:r>
    </w:p>
    <w:p w14:paraId="0241DAE1" w14:textId="77777777" w:rsidR="00F24ACD" w:rsidRPr="007E734E" w:rsidRDefault="00F24ACD" w:rsidP="00F24ACD">
      <w:pPr>
        <w:pStyle w:val="NormalWeb"/>
        <w:spacing w:before="0" w:beforeAutospacing="0" w:after="0" w:afterAutospacing="0"/>
        <w:ind w:left="720" w:hanging="720"/>
        <w:contextualSpacing/>
        <w:jc w:val="both"/>
        <w:rPr>
          <w:rFonts w:ascii="Bahnschrift" w:hAnsi="Bahnschrift" w:cs="Arial"/>
          <w:sz w:val="22"/>
          <w:szCs w:val="22"/>
        </w:rPr>
      </w:pPr>
    </w:p>
    <w:p w14:paraId="3376AB3A" w14:textId="77777777" w:rsidR="00F24ACD" w:rsidRPr="007E734E" w:rsidRDefault="00F24ACD" w:rsidP="00F24ACD">
      <w:pPr>
        <w:pStyle w:val="NormalWeb"/>
        <w:spacing w:before="0" w:beforeAutospacing="0" w:after="0" w:afterAutospacing="0"/>
        <w:ind w:left="720" w:hanging="720"/>
        <w:contextualSpacing/>
        <w:jc w:val="both"/>
        <w:rPr>
          <w:rFonts w:ascii="Bahnschrift" w:hAnsi="Bahnschrift" w:cs="Arial"/>
          <w:sz w:val="22"/>
          <w:szCs w:val="22"/>
        </w:rPr>
      </w:pPr>
      <w:r w:rsidRPr="007E734E">
        <w:rPr>
          <w:rFonts w:ascii="Bahnschrift" w:hAnsi="Bahnschrift" w:cs="Arial"/>
          <w:sz w:val="22"/>
          <w:szCs w:val="22"/>
        </w:rPr>
        <w:t xml:space="preserve">Mori, Y., &amp; Manuel, M. E. (2024). An exploratory study of approaches to onboard training in different countries. </w:t>
      </w:r>
      <w:r w:rsidRPr="007E734E">
        <w:rPr>
          <w:rFonts w:ascii="Bahnschrift" w:hAnsi="Bahnschrift" w:cs="Arial"/>
          <w:i/>
          <w:iCs/>
          <w:sz w:val="22"/>
          <w:szCs w:val="22"/>
        </w:rPr>
        <w:t>Journal of International Maritime Safety, Environmental Affairs, and Shipping, 8</w:t>
      </w:r>
      <w:r w:rsidRPr="007E734E">
        <w:rPr>
          <w:rFonts w:ascii="Bahnschrift" w:hAnsi="Bahnschrift" w:cs="Arial"/>
          <w:sz w:val="22"/>
          <w:szCs w:val="22"/>
        </w:rPr>
        <w:t>(3). https://doi.org/10.1080/25725084.2024.2386221</w:t>
      </w:r>
    </w:p>
    <w:p w14:paraId="6A93A078" w14:textId="77777777" w:rsidR="00F24ACD" w:rsidRPr="007E734E" w:rsidRDefault="00F24ACD" w:rsidP="00F24ACD">
      <w:pPr>
        <w:pStyle w:val="NormalWeb"/>
        <w:spacing w:before="0" w:beforeAutospacing="0" w:after="0" w:afterAutospacing="0"/>
        <w:ind w:left="720" w:hanging="720"/>
        <w:contextualSpacing/>
        <w:jc w:val="both"/>
        <w:rPr>
          <w:rFonts w:ascii="Bahnschrift" w:hAnsi="Bahnschrift" w:cs="Arial"/>
          <w:sz w:val="22"/>
          <w:szCs w:val="22"/>
        </w:rPr>
      </w:pPr>
    </w:p>
    <w:p w14:paraId="3C80089D" w14:textId="77777777" w:rsidR="00F24ACD" w:rsidRPr="007E734E" w:rsidRDefault="00F24ACD" w:rsidP="00F24ACD">
      <w:pPr>
        <w:pStyle w:val="NormalWeb"/>
        <w:spacing w:before="0" w:beforeAutospacing="0" w:after="0" w:afterAutospacing="0"/>
        <w:ind w:left="720" w:hanging="720"/>
        <w:contextualSpacing/>
        <w:jc w:val="both"/>
        <w:rPr>
          <w:rFonts w:ascii="Bahnschrift" w:hAnsi="Bahnschrift" w:cs="Arial"/>
          <w:sz w:val="22"/>
          <w:szCs w:val="22"/>
        </w:rPr>
      </w:pPr>
      <w:r w:rsidRPr="007E734E">
        <w:rPr>
          <w:rFonts w:ascii="Bahnschrift" w:hAnsi="Bahnschrift" w:cs="Arial"/>
          <w:sz w:val="22"/>
          <w:szCs w:val="22"/>
        </w:rPr>
        <w:t xml:space="preserve">Morris, T. H. (2019). Experiential learning: A systematic review and revision of Kolb's model. </w:t>
      </w:r>
      <w:r w:rsidRPr="007E734E">
        <w:rPr>
          <w:rFonts w:ascii="Bahnschrift" w:hAnsi="Bahnschrift" w:cs="Arial"/>
          <w:i/>
          <w:iCs/>
          <w:sz w:val="22"/>
          <w:szCs w:val="22"/>
        </w:rPr>
        <w:t>Interactive Learning Environments, 28</w:t>
      </w:r>
      <w:r w:rsidRPr="007E734E">
        <w:rPr>
          <w:rFonts w:ascii="Bahnschrift" w:hAnsi="Bahnschrift" w:cs="Arial"/>
          <w:sz w:val="22"/>
          <w:szCs w:val="22"/>
        </w:rPr>
        <w:t>(8), 1064-1077. https://doi.org/10.1080/10494820.2019.1570279</w:t>
      </w:r>
    </w:p>
    <w:p w14:paraId="16D753E4" w14:textId="77777777" w:rsidR="00F24ACD" w:rsidRPr="007E734E" w:rsidRDefault="00F24ACD" w:rsidP="00F24ACD">
      <w:pPr>
        <w:pStyle w:val="NormalWeb"/>
        <w:spacing w:before="0" w:beforeAutospacing="0" w:after="0" w:afterAutospacing="0"/>
        <w:ind w:left="720" w:hanging="720"/>
        <w:contextualSpacing/>
        <w:jc w:val="both"/>
        <w:rPr>
          <w:rFonts w:ascii="Bahnschrift" w:hAnsi="Bahnschrift" w:cs="Arial"/>
          <w:sz w:val="22"/>
          <w:szCs w:val="22"/>
        </w:rPr>
      </w:pPr>
    </w:p>
    <w:p w14:paraId="5DBA1809" w14:textId="77777777" w:rsidR="00F24ACD" w:rsidRPr="007E734E" w:rsidRDefault="00F24ACD" w:rsidP="00F24ACD">
      <w:pPr>
        <w:pStyle w:val="NormalWeb"/>
        <w:spacing w:before="0" w:beforeAutospacing="0" w:after="0" w:afterAutospacing="0"/>
        <w:ind w:left="720" w:hanging="720"/>
        <w:contextualSpacing/>
        <w:jc w:val="both"/>
        <w:rPr>
          <w:rFonts w:ascii="Bahnschrift" w:hAnsi="Bahnschrift" w:cs="Arial"/>
          <w:sz w:val="22"/>
          <w:szCs w:val="22"/>
        </w:rPr>
      </w:pPr>
      <w:r w:rsidRPr="007E734E">
        <w:rPr>
          <w:rFonts w:ascii="Bahnschrift" w:hAnsi="Bahnschrift" w:cs="Arial"/>
          <w:sz w:val="22"/>
          <w:szCs w:val="22"/>
        </w:rPr>
        <w:t xml:space="preserve">Setiawan, A. N., Dijaya, Y. P., &amp; Paratama, A. W. (2021). Exploring the qualifications of future seafarers from the perspective of stakeholders: Its implications in the maritime education and training. </w:t>
      </w:r>
      <w:r w:rsidRPr="007E734E">
        <w:rPr>
          <w:rStyle w:val="Emphasis"/>
          <w:rFonts w:ascii="Bahnschrift" w:hAnsi="Bahnschrift" w:cs="Arial"/>
          <w:sz w:val="22"/>
          <w:szCs w:val="22"/>
        </w:rPr>
        <w:t>Jurnal Penelitian Transportasi Laut, 23</w:t>
      </w:r>
      <w:r w:rsidRPr="007E734E">
        <w:rPr>
          <w:rFonts w:ascii="Bahnschrift" w:hAnsi="Bahnschrift" w:cs="Arial"/>
          <w:sz w:val="22"/>
          <w:szCs w:val="22"/>
        </w:rPr>
        <w:t xml:space="preserve">(1), 33–38. </w:t>
      </w:r>
      <w:hyperlink r:id="rId9" w:tgtFrame="_new" w:history="1">
        <w:r w:rsidRPr="007E734E">
          <w:rPr>
            <w:rStyle w:val="Hyperlink"/>
            <w:rFonts w:ascii="Bahnschrift" w:hAnsi="Bahnschrift" w:cs="Arial"/>
            <w:color w:val="auto"/>
            <w:sz w:val="22"/>
            <w:szCs w:val="22"/>
            <w:u w:val="none"/>
          </w:rPr>
          <w:t>https://www.researchgate.net/publication/354247542_Exploring_the_Qualifications_of_Future_Seafarers_from_the_Perspective_of_Stakeholders_its_Implications_in_the_Maritime_Education_and_Training</w:t>
        </w:r>
      </w:hyperlink>
    </w:p>
    <w:p w14:paraId="4738F2AD" w14:textId="77777777" w:rsidR="00F24ACD" w:rsidRPr="007E734E" w:rsidRDefault="00F24ACD" w:rsidP="00F24AC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/>
          <w:strike/>
        </w:rPr>
      </w:pPr>
    </w:p>
    <w:p w14:paraId="6EC2B5C7" w14:textId="77777777" w:rsidR="00F24ACD" w:rsidRPr="004D1CE9" w:rsidRDefault="00F24ACD" w:rsidP="00F24AC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E734E">
        <w:rPr>
          <w:rFonts w:ascii="Bahnschrift" w:hAnsi="Bahnschrift"/>
        </w:rPr>
        <w:t xml:space="preserve">Zhang, K., Hao, G., Tian, Y., Huang, L., Xie, C., &amp; Zhu, J. (2019). Evaluation model of maritime search and rescue response capability. In </w:t>
      </w:r>
      <w:r w:rsidRPr="007E734E">
        <w:rPr>
          <w:rFonts w:ascii="Bahnschrift" w:hAnsi="Bahnschrift"/>
          <w:i/>
          <w:iCs/>
        </w:rPr>
        <w:t>2019 5th International Conference on Transportation Information and Safety</w:t>
      </w:r>
      <w:r w:rsidRPr="007E734E">
        <w:rPr>
          <w:rFonts w:ascii="Bahnschrift" w:hAnsi="Bahnschrift"/>
        </w:rPr>
        <w:t xml:space="preserve"> (ICTIS) (pp. 155–160). IEEE. </w:t>
      </w:r>
      <w:r w:rsidRPr="0020479E">
        <w:rPr>
          <w:rFonts w:ascii="Bahnschrift" w:hAnsi="Bahnschrift"/>
          <w:sz w:val="21"/>
          <w:szCs w:val="21"/>
        </w:rPr>
        <w:t>https://doi.org/10.1109/ICTIS.2019.8883768</w:t>
      </w:r>
    </w:p>
    <w:p w14:paraId="7F55EAF9" w14:textId="4E37BB98" w:rsidR="00671F20" w:rsidRPr="0076460C" w:rsidRDefault="00671F20" w:rsidP="00FE2FD1">
      <w:pPr>
        <w:rPr>
          <w:sz w:val="24"/>
          <w:szCs w:val="24"/>
          <w:lang w:val="en-US"/>
        </w:rPr>
      </w:pPr>
    </w:p>
    <w:p w14:paraId="5CF7CE56" w14:textId="77777777" w:rsidR="0076460C" w:rsidRPr="0076460C" w:rsidRDefault="0076460C">
      <w:pPr>
        <w:rPr>
          <w:sz w:val="24"/>
          <w:szCs w:val="24"/>
          <w:lang w:val="en-US"/>
        </w:rPr>
      </w:pPr>
    </w:p>
    <w:sectPr w:rsidR="0076460C" w:rsidRPr="0076460C" w:rsidSect="00AE2C6C">
      <w:headerReference w:type="default" r:id="rId10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2415A" w14:textId="77777777" w:rsidR="00234009" w:rsidRDefault="00234009" w:rsidP="00290EE2">
      <w:pPr>
        <w:spacing w:after="0" w:line="240" w:lineRule="auto"/>
      </w:pPr>
      <w:r>
        <w:separator/>
      </w:r>
    </w:p>
  </w:endnote>
  <w:endnote w:type="continuationSeparator" w:id="0">
    <w:p w14:paraId="4D5E6A96" w14:textId="77777777" w:rsidR="00234009" w:rsidRDefault="00234009" w:rsidP="0029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A9419" w14:textId="77777777" w:rsidR="00234009" w:rsidRDefault="00234009" w:rsidP="00290EE2">
      <w:pPr>
        <w:spacing w:after="0" w:line="240" w:lineRule="auto"/>
      </w:pPr>
      <w:r>
        <w:separator/>
      </w:r>
    </w:p>
  </w:footnote>
  <w:footnote w:type="continuationSeparator" w:id="0">
    <w:p w14:paraId="6A9DCF4E" w14:textId="77777777" w:rsidR="00234009" w:rsidRDefault="00234009" w:rsidP="0029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AE66" w14:textId="77777777" w:rsidR="00290EE2" w:rsidRDefault="00290EE2">
    <w:pPr>
      <w:pStyle w:val="Header"/>
      <w:rPr>
        <w:rFonts w:ascii="Times New Roman" w:eastAsia="Times New Roman" w:hAnsi="Times New Roman" w:cs="Times New Roman"/>
        <w:b/>
        <w:bCs/>
        <w:kern w:val="0"/>
        <w:sz w:val="28"/>
        <w:szCs w:val="28"/>
        <w:lang w:eastAsia="en-PH"/>
        <w14:ligatures w14:val="none"/>
      </w:rPr>
    </w:pPr>
  </w:p>
  <w:p w14:paraId="3F6EC176" w14:textId="3C082D2D" w:rsidR="00E02438" w:rsidRPr="00E02438" w:rsidRDefault="00E02438" w:rsidP="00E02438">
    <w:pPr>
      <w:pStyle w:val="Header"/>
    </w:pPr>
    <w:r w:rsidRPr="00E02438">
      <w:rPr>
        <w:noProof/>
      </w:rPr>
      <w:drawing>
        <wp:inline distT="0" distB="0" distL="0" distR="0" wp14:anchorId="502891D0" wp14:editId="449A61E3">
          <wp:extent cx="939165" cy="412750"/>
          <wp:effectExtent l="0" t="0" r="0" b="6350"/>
          <wp:docPr id="1328793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955" cy="42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A54B6F" w14:textId="0B0C146D" w:rsidR="00290EE2" w:rsidRDefault="00FE2FD1">
    <w:pPr>
      <w:pStyle w:val="Header"/>
    </w:pPr>
    <w:r>
      <w:t>__________________________________________________________________________________</w:t>
    </w:r>
  </w:p>
  <w:p w14:paraId="460F50A3" w14:textId="77777777" w:rsidR="00FE2FD1" w:rsidRDefault="00FE2F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C3"/>
    <w:multiLevelType w:val="multilevel"/>
    <w:tmpl w:val="2736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0380"/>
    <w:multiLevelType w:val="multilevel"/>
    <w:tmpl w:val="00B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853E9"/>
    <w:multiLevelType w:val="multilevel"/>
    <w:tmpl w:val="BBD8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5C21"/>
    <w:multiLevelType w:val="multilevel"/>
    <w:tmpl w:val="54D4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C47EF"/>
    <w:multiLevelType w:val="multilevel"/>
    <w:tmpl w:val="A5AE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E0611"/>
    <w:multiLevelType w:val="multilevel"/>
    <w:tmpl w:val="F5F6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24229"/>
    <w:multiLevelType w:val="multilevel"/>
    <w:tmpl w:val="9D2C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9302C"/>
    <w:multiLevelType w:val="multilevel"/>
    <w:tmpl w:val="6464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63175"/>
    <w:multiLevelType w:val="multilevel"/>
    <w:tmpl w:val="0EAC1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D94123"/>
    <w:multiLevelType w:val="multilevel"/>
    <w:tmpl w:val="2A8A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AB3239"/>
    <w:multiLevelType w:val="multilevel"/>
    <w:tmpl w:val="C6BC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362EA"/>
    <w:multiLevelType w:val="multilevel"/>
    <w:tmpl w:val="0CD6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16537"/>
    <w:multiLevelType w:val="multilevel"/>
    <w:tmpl w:val="8680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1F6CB5"/>
    <w:multiLevelType w:val="multilevel"/>
    <w:tmpl w:val="E42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620DD"/>
    <w:multiLevelType w:val="multilevel"/>
    <w:tmpl w:val="CBE2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86D4A"/>
    <w:multiLevelType w:val="multilevel"/>
    <w:tmpl w:val="0FF8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510B3"/>
    <w:multiLevelType w:val="multilevel"/>
    <w:tmpl w:val="B6E0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573716"/>
    <w:multiLevelType w:val="multilevel"/>
    <w:tmpl w:val="24F4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04378F"/>
    <w:multiLevelType w:val="multilevel"/>
    <w:tmpl w:val="5FB8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0714CE"/>
    <w:multiLevelType w:val="multilevel"/>
    <w:tmpl w:val="A330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3690B"/>
    <w:multiLevelType w:val="multilevel"/>
    <w:tmpl w:val="4ECA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2077C6"/>
    <w:multiLevelType w:val="multilevel"/>
    <w:tmpl w:val="5F76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3D2433"/>
    <w:multiLevelType w:val="multilevel"/>
    <w:tmpl w:val="E75E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D81CD1"/>
    <w:multiLevelType w:val="multilevel"/>
    <w:tmpl w:val="74F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657919"/>
    <w:multiLevelType w:val="multilevel"/>
    <w:tmpl w:val="27C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EA1AD1"/>
    <w:multiLevelType w:val="multilevel"/>
    <w:tmpl w:val="D3BE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2E198B"/>
    <w:multiLevelType w:val="multilevel"/>
    <w:tmpl w:val="415A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F111DD"/>
    <w:multiLevelType w:val="multilevel"/>
    <w:tmpl w:val="0498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EA7C95"/>
    <w:multiLevelType w:val="multilevel"/>
    <w:tmpl w:val="6D58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B1569C"/>
    <w:multiLevelType w:val="multilevel"/>
    <w:tmpl w:val="D2F8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E663E0"/>
    <w:multiLevelType w:val="multilevel"/>
    <w:tmpl w:val="C70A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C67724"/>
    <w:multiLevelType w:val="multilevel"/>
    <w:tmpl w:val="0500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0951E5"/>
    <w:multiLevelType w:val="multilevel"/>
    <w:tmpl w:val="E3CE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BD44FC"/>
    <w:multiLevelType w:val="multilevel"/>
    <w:tmpl w:val="8696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5A56FD"/>
    <w:multiLevelType w:val="multilevel"/>
    <w:tmpl w:val="F822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F79323F"/>
    <w:multiLevelType w:val="multilevel"/>
    <w:tmpl w:val="A6A6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4634558"/>
    <w:multiLevelType w:val="multilevel"/>
    <w:tmpl w:val="EB30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3E7D"/>
    <w:multiLevelType w:val="multilevel"/>
    <w:tmpl w:val="164C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010D60"/>
    <w:multiLevelType w:val="multilevel"/>
    <w:tmpl w:val="8BB4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E8345C"/>
    <w:multiLevelType w:val="multilevel"/>
    <w:tmpl w:val="C202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364749">
    <w:abstractNumId w:val="13"/>
  </w:num>
  <w:num w:numId="2" w16cid:durableId="1840268275">
    <w:abstractNumId w:val="11"/>
  </w:num>
  <w:num w:numId="3" w16cid:durableId="2000771353">
    <w:abstractNumId w:val="38"/>
  </w:num>
  <w:num w:numId="4" w16cid:durableId="2116243982">
    <w:abstractNumId w:val="34"/>
  </w:num>
  <w:num w:numId="5" w16cid:durableId="1848906244">
    <w:abstractNumId w:val="15"/>
  </w:num>
  <w:num w:numId="6" w16cid:durableId="1097823186">
    <w:abstractNumId w:val="31"/>
  </w:num>
  <w:num w:numId="7" w16cid:durableId="692804235">
    <w:abstractNumId w:val="2"/>
  </w:num>
  <w:num w:numId="8" w16cid:durableId="1726566390">
    <w:abstractNumId w:val="9"/>
  </w:num>
  <w:num w:numId="9" w16cid:durableId="1678072523">
    <w:abstractNumId w:val="25"/>
  </w:num>
  <w:num w:numId="10" w16cid:durableId="657853467">
    <w:abstractNumId w:val="28"/>
  </w:num>
  <w:num w:numId="11" w16cid:durableId="1146699707">
    <w:abstractNumId w:val="3"/>
  </w:num>
  <w:num w:numId="12" w16cid:durableId="1427195387">
    <w:abstractNumId w:val="7"/>
  </w:num>
  <w:num w:numId="13" w16cid:durableId="359866326">
    <w:abstractNumId w:val="30"/>
  </w:num>
  <w:num w:numId="14" w16cid:durableId="1610159056">
    <w:abstractNumId w:val="27"/>
  </w:num>
  <w:num w:numId="15" w16cid:durableId="1035691151">
    <w:abstractNumId w:val="21"/>
  </w:num>
  <w:num w:numId="16" w16cid:durableId="1345325102">
    <w:abstractNumId w:val="6"/>
  </w:num>
  <w:num w:numId="17" w16cid:durableId="1939287957">
    <w:abstractNumId w:val="39"/>
  </w:num>
  <w:num w:numId="18" w16cid:durableId="1050766509">
    <w:abstractNumId w:val="5"/>
  </w:num>
  <w:num w:numId="19" w16cid:durableId="2067869038">
    <w:abstractNumId w:val="37"/>
  </w:num>
  <w:num w:numId="20" w16cid:durableId="926382073">
    <w:abstractNumId w:val="32"/>
  </w:num>
  <w:num w:numId="21" w16cid:durableId="175774230">
    <w:abstractNumId w:val="29"/>
  </w:num>
  <w:num w:numId="22" w16cid:durableId="1980959878">
    <w:abstractNumId w:val="0"/>
  </w:num>
  <w:num w:numId="23" w16cid:durableId="853687006">
    <w:abstractNumId w:val="10"/>
  </w:num>
  <w:num w:numId="24" w16cid:durableId="767386865">
    <w:abstractNumId w:val="4"/>
  </w:num>
  <w:num w:numId="25" w16cid:durableId="1604609217">
    <w:abstractNumId w:val="26"/>
  </w:num>
  <w:num w:numId="26" w16cid:durableId="1921407878">
    <w:abstractNumId w:val="17"/>
  </w:num>
  <w:num w:numId="27" w16cid:durableId="1137604831">
    <w:abstractNumId w:val="36"/>
  </w:num>
  <w:num w:numId="28" w16cid:durableId="1843815622">
    <w:abstractNumId w:val="20"/>
  </w:num>
  <w:num w:numId="29" w16cid:durableId="1984578508">
    <w:abstractNumId w:val="18"/>
  </w:num>
  <w:num w:numId="30" w16cid:durableId="1087849804">
    <w:abstractNumId w:val="16"/>
  </w:num>
  <w:num w:numId="31" w16cid:durableId="1535196864">
    <w:abstractNumId w:val="19"/>
  </w:num>
  <w:num w:numId="32" w16cid:durableId="1006328205">
    <w:abstractNumId w:val="35"/>
  </w:num>
  <w:num w:numId="33" w16cid:durableId="2076972064">
    <w:abstractNumId w:val="24"/>
  </w:num>
  <w:num w:numId="34" w16cid:durableId="1405879234">
    <w:abstractNumId w:val="14"/>
  </w:num>
  <w:num w:numId="35" w16cid:durableId="1221095569">
    <w:abstractNumId w:val="33"/>
  </w:num>
  <w:num w:numId="36" w16cid:durableId="759450845">
    <w:abstractNumId w:val="23"/>
  </w:num>
  <w:num w:numId="37" w16cid:durableId="869100768">
    <w:abstractNumId w:val="1"/>
  </w:num>
  <w:num w:numId="38" w16cid:durableId="505630791">
    <w:abstractNumId w:val="12"/>
  </w:num>
  <w:num w:numId="39" w16cid:durableId="1763648156">
    <w:abstractNumId w:val="8"/>
  </w:num>
  <w:num w:numId="40" w16cid:durableId="5446078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6C"/>
    <w:rsid w:val="000115DB"/>
    <w:rsid w:val="00012787"/>
    <w:rsid w:val="000263CC"/>
    <w:rsid w:val="0003043D"/>
    <w:rsid w:val="00077679"/>
    <w:rsid w:val="000854B9"/>
    <w:rsid w:val="00085B6A"/>
    <w:rsid w:val="000905B2"/>
    <w:rsid w:val="000B20E3"/>
    <w:rsid w:val="000C2E76"/>
    <w:rsid w:val="000E6E7E"/>
    <w:rsid w:val="000F5057"/>
    <w:rsid w:val="000F6515"/>
    <w:rsid w:val="001537E9"/>
    <w:rsid w:val="001803A8"/>
    <w:rsid w:val="001E51ED"/>
    <w:rsid w:val="001F54EA"/>
    <w:rsid w:val="00234009"/>
    <w:rsid w:val="00246867"/>
    <w:rsid w:val="00290EE2"/>
    <w:rsid w:val="002D330A"/>
    <w:rsid w:val="002D3698"/>
    <w:rsid w:val="002D436B"/>
    <w:rsid w:val="002F25AC"/>
    <w:rsid w:val="00305990"/>
    <w:rsid w:val="00330D2C"/>
    <w:rsid w:val="00370561"/>
    <w:rsid w:val="00376F42"/>
    <w:rsid w:val="003850EC"/>
    <w:rsid w:val="0039693E"/>
    <w:rsid w:val="003970FD"/>
    <w:rsid w:val="0040380D"/>
    <w:rsid w:val="0041197F"/>
    <w:rsid w:val="00423FA0"/>
    <w:rsid w:val="00441477"/>
    <w:rsid w:val="0044264E"/>
    <w:rsid w:val="00447D9B"/>
    <w:rsid w:val="00451A1D"/>
    <w:rsid w:val="00461A7E"/>
    <w:rsid w:val="00487414"/>
    <w:rsid w:val="004935CA"/>
    <w:rsid w:val="004B1691"/>
    <w:rsid w:val="004B45E4"/>
    <w:rsid w:val="004D3CC1"/>
    <w:rsid w:val="004D55CB"/>
    <w:rsid w:val="004D7883"/>
    <w:rsid w:val="004D79C8"/>
    <w:rsid w:val="00502501"/>
    <w:rsid w:val="0052185D"/>
    <w:rsid w:val="00535B8B"/>
    <w:rsid w:val="005611F8"/>
    <w:rsid w:val="00567107"/>
    <w:rsid w:val="005A412C"/>
    <w:rsid w:val="005C1604"/>
    <w:rsid w:val="005D4E9F"/>
    <w:rsid w:val="00600DEF"/>
    <w:rsid w:val="00603552"/>
    <w:rsid w:val="006068F5"/>
    <w:rsid w:val="00614D90"/>
    <w:rsid w:val="00623E52"/>
    <w:rsid w:val="00623E9B"/>
    <w:rsid w:val="00640E62"/>
    <w:rsid w:val="0064183D"/>
    <w:rsid w:val="006578AF"/>
    <w:rsid w:val="00671F20"/>
    <w:rsid w:val="00676A64"/>
    <w:rsid w:val="006D226E"/>
    <w:rsid w:val="006D5B80"/>
    <w:rsid w:val="00715281"/>
    <w:rsid w:val="00735A13"/>
    <w:rsid w:val="00755F49"/>
    <w:rsid w:val="00756E91"/>
    <w:rsid w:val="0076121C"/>
    <w:rsid w:val="0076460C"/>
    <w:rsid w:val="00793BA1"/>
    <w:rsid w:val="007A4C79"/>
    <w:rsid w:val="007C1CD4"/>
    <w:rsid w:val="007E1A12"/>
    <w:rsid w:val="007E5DD9"/>
    <w:rsid w:val="007F1F44"/>
    <w:rsid w:val="00805D1B"/>
    <w:rsid w:val="00814436"/>
    <w:rsid w:val="00821C09"/>
    <w:rsid w:val="00834DC8"/>
    <w:rsid w:val="00847EF6"/>
    <w:rsid w:val="0085353D"/>
    <w:rsid w:val="008613BB"/>
    <w:rsid w:val="00866E71"/>
    <w:rsid w:val="008816E7"/>
    <w:rsid w:val="008B0FD5"/>
    <w:rsid w:val="008B3F0A"/>
    <w:rsid w:val="008E0D92"/>
    <w:rsid w:val="008E1167"/>
    <w:rsid w:val="008F2867"/>
    <w:rsid w:val="009518D7"/>
    <w:rsid w:val="0095714A"/>
    <w:rsid w:val="009861AB"/>
    <w:rsid w:val="00986983"/>
    <w:rsid w:val="00991E5A"/>
    <w:rsid w:val="0099511C"/>
    <w:rsid w:val="009C0634"/>
    <w:rsid w:val="00A0661E"/>
    <w:rsid w:val="00A07BBD"/>
    <w:rsid w:val="00A113B1"/>
    <w:rsid w:val="00A11A8C"/>
    <w:rsid w:val="00A26BD1"/>
    <w:rsid w:val="00A46EC1"/>
    <w:rsid w:val="00A949FE"/>
    <w:rsid w:val="00AA5980"/>
    <w:rsid w:val="00AB7B62"/>
    <w:rsid w:val="00AE2C6C"/>
    <w:rsid w:val="00AE75F0"/>
    <w:rsid w:val="00B03067"/>
    <w:rsid w:val="00B517BC"/>
    <w:rsid w:val="00B52DD2"/>
    <w:rsid w:val="00BD197D"/>
    <w:rsid w:val="00BD21AF"/>
    <w:rsid w:val="00C019A5"/>
    <w:rsid w:val="00C1010B"/>
    <w:rsid w:val="00C261F2"/>
    <w:rsid w:val="00C4676A"/>
    <w:rsid w:val="00C64BBB"/>
    <w:rsid w:val="00C66F41"/>
    <w:rsid w:val="00C833B7"/>
    <w:rsid w:val="00D12E17"/>
    <w:rsid w:val="00D21FD1"/>
    <w:rsid w:val="00D269F4"/>
    <w:rsid w:val="00D56D5A"/>
    <w:rsid w:val="00D63BE3"/>
    <w:rsid w:val="00D86FE1"/>
    <w:rsid w:val="00D90040"/>
    <w:rsid w:val="00D93013"/>
    <w:rsid w:val="00DC7E96"/>
    <w:rsid w:val="00DD169C"/>
    <w:rsid w:val="00DD3D62"/>
    <w:rsid w:val="00DD5544"/>
    <w:rsid w:val="00DE625B"/>
    <w:rsid w:val="00DE69B0"/>
    <w:rsid w:val="00DF30A2"/>
    <w:rsid w:val="00DF509D"/>
    <w:rsid w:val="00DF5CBF"/>
    <w:rsid w:val="00E02438"/>
    <w:rsid w:val="00E03E24"/>
    <w:rsid w:val="00E203A6"/>
    <w:rsid w:val="00E40FF5"/>
    <w:rsid w:val="00E5333A"/>
    <w:rsid w:val="00E84A47"/>
    <w:rsid w:val="00E93AB4"/>
    <w:rsid w:val="00EA227F"/>
    <w:rsid w:val="00EB2813"/>
    <w:rsid w:val="00EC4E5D"/>
    <w:rsid w:val="00ED56E4"/>
    <w:rsid w:val="00F04034"/>
    <w:rsid w:val="00F177C5"/>
    <w:rsid w:val="00F23CBA"/>
    <w:rsid w:val="00F24ACD"/>
    <w:rsid w:val="00F462FC"/>
    <w:rsid w:val="00F563EA"/>
    <w:rsid w:val="00F74DF4"/>
    <w:rsid w:val="00FE2FD1"/>
    <w:rsid w:val="00FE4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8648"/>
  <w15:chartTrackingRefBased/>
  <w15:docId w15:val="{CB524ECB-B2ED-469E-8D91-70958452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4ACD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E2C6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C6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C6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C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C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C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C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C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C6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C6C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C6C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C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C6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EE2"/>
  </w:style>
  <w:style w:type="paragraph" w:styleId="Footer">
    <w:name w:val="footer"/>
    <w:basedOn w:val="Normal"/>
    <w:link w:val="Foot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EE2"/>
  </w:style>
  <w:style w:type="table" w:styleId="TableGrid">
    <w:name w:val="Table Grid"/>
    <w:basedOn w:val="TableNormal"/>
    <w:uiPriority w:val="39"/>
    <w:rsid w:val="0009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qFormat/>
    <w:rsid w:val="001F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PH"/>
      <w14:ligatures w14:val="none"/>
    </w:rPr>
  </w:style>
  <w:style w:type="character" w:styleId="Strong">
    <w:name w:val="Strong"/>
    <w:basedOn w:val="DefaultParagraphFont"/>
    <w:uiPriority w:val="22"/>
    <w:qFormat/>
    <w:rsid w:val="001F54EA"/>
    <w:rPr>
      <w:b/>
      <w:bCs/>
    </w:rPr>
  </w:style>
  <w:style w:type="character" w:styleId="Hyperlink">
    <w:name w:val="Hyperlink"/>
    <w:basedOn w:val="DefaultParagraphFont"/>
    <w:uiPriority w:val="99"/>
    <w:unhideWhenUsed/>
    <w:qFormat/>
    <w:rsid w:val="00F24ACD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F24AC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dpi.com/2076-3417/14/8/317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ournals.viamedica.pl/international_maritime_health/article/view/2612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researchgate.net/publication/354247542_Exploring_the_Qualifications_of_Future_Seafarers_from_the_Perspective_of_Stakeholders_its_Implications_in_the_Maritime_Education_and_Trainin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741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victorcajala@outlook.com</dc:creator>
  <cp:keywords/>
  <dc:description/>
  <cp:lastModifiedBy>Victor Cajala</cp:lastModifiedBy>
  <cp:revision>60</cp:revision>
  <cp:lastPrinted>2026-02-21T05:03:00Z</cp:lastPrinted>
  <dcterms:created xsi:type="dcterms:W3CDTF">2025-12-03T11:08:00Z</dcterms:created>
  <dcterms:modified xsi:type="dcterms:W3CDTF">2026-10-03T03:56:00Z</dcterms:modified>
</cp:coreProperties>
</file>