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B2D5" w14:textId="77777777" w:rsidR="00927EBE" w:rsidRPr="00C6090D" w:rsidRDefault="00927EBE" w:rsidP="00927EBE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C6090D">
        <w:rPr>
          <w:rFonts w:ascii="Arial Rounded MT Bold" w:hAnsi="Arial Rounded MT Bold"/>
          <w:b/>
          <w:bCs/>
        </w:rPr>
        <w:t>REFERENCES</w:t>
      </w:r>
    </w:p>
    <w:p w14:paraId="4B6F6986" w14:textId="77777777" w:rsidR="00927EBE" w:rsidRPr="00C6090D" w:rsidRDefault="00927EBE" w:rsidP="00927EBE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0C3012D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Futuregen Consulting. (2026). </w:t>
      </w:r>
      <w:r w:rsidRPr="00546978">
        <w:rPr>
          <w:rFonts w:ascii="Bahnschrift" w:hAnsi="Bahnschrift" w:cs="Arial"/>
          <w:i/>
          <w:iCs/>
          <w:noProof/>
        </w:rPr>
        <w:t>The role of electrical engineers in commercial construction projects.</w:t>
      </w:r>
      <w:r w:rsidRPr="00546978">
        <w:rPr>
          <w:rFonts w:ascii="Bahnschrift" w:hAnsi="Bahnschrift" w:cs="Arial"/>
          <w:noProof/>
        </w:rPr>
        <w:t xml:space="preserve"> Futuregen. https://futuregenconsulting.ca/the-role-of-electrical-engineers-in-commercial-construction-projects/</w:t>
      </w:r>
    </w:p>
    <w:p w14:paraId="2B4FC827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EBE584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Aldhuhoori, R., Almazrouei, K., Sakhrieh, A., Hazza, M. A., &amp; Alnahhal, M. (2022). The effects of recruitment, selection, and training practices on employee performance in the construction and related industries. </w:t>
      </w:r>
      <w:r w:rsidRPr="00546978">
        <w:rPr>
          <w:rFonts w:ascii="Bahnschrift" w:hAnsi="Bahnschrift" w:cs="Arial"/>
          <w:i/>
          <w:iCs/>
          <w:noProof/>
        </w:rPr>
        <w:t>Civil Engineering Journal, 8</w:t>
      </w:r>
      <w:r w:rsidRPr="00546978">
        <w:rPr>
          <w:rFonts w:ascii="Bahnschrift" w:hAnsi="Bahnschrift" w:cs="Arial"/>
          <w:noProof/>
        </w:rPr>
        <w:t>(12), 3831–3841. https://doi.org/10.28991/cej-2022-08-12-012</w:t>
      </w:r>
    </w:p>
    <w:p w14:paraId="574DB35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AE72EF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Aljumah, A. (2023). The impact of job training on recruitment and employability skills among graduates. </w:t>
      </w:r>
      <w:r w:rsidRPr="00546978">
        <w:rPr>
          <w:rFonts w:ascii="Bahnschrift" w:hAnsi="Bahnschrift" w:cs="Arial"/>
          <w:i/>
          <w:iCs/>
          <w:noProof/>
        </w:rPr>
        <w:t>International Journal of Professional Business Review, 8</w:t>
      </w:r>
      <w:r w:rsidRPr="00546978">
        <w:rPr>
          <w:rFonts w:ascii="Bahnschrift" w:hAnsi="Bahnschrift" w:cs="Arial"/>
          <w:noProof/>
        </w:rPr>
        <w:t>(10), e02806. https://doi.org/10.26668/businessreview/2023.v8i10.2806</w:t>
      </w:r>
    </w:p>
    <w:p w14:paraId="720158F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8BF3ED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Alsakarneh, A. A., &amp; Hong, S. C. (2015). Talent management in twenty-first century: Theory and practically. </w:t>
      </w:r>
      <w:r w:rsidRPr="00546978">
        <w:rPr>
          <w:rFonts w:ascii="Bahnschrift" w:hAnsi="Bahnschrift" w:cs="Arial"/>
          <w:i/>
          <w:iCs/>
          <w:noProof/>
        </w:rPr>
        <w:t>International Journal of Applied Research, 1</w:t>
      </w:r>
      <w:r w:rsidRPr="00546978">
        <w:rPr>
          <w:rFonts w:ascii="Bahnschrift" w:hAnsi="Bahnschrift" w:cs="Arial"/>
          <w:noProof/>
        </w:rPr>
        <w:t>(11), 1036–1043.</w:t>
      </w:r>
    </w:p>
    <w:p w14:paraId="1BDABE0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1B82EE4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Armstrong, M., &amp; Taylor, S. (2023). </w:t>
      </w:r>
      <w:r w:rsidRPr="00546978">
        <w:rPr>
          <w:rFonts w:ascii="Bahnschrift" w:hAnsi="Bahnschrift" w:cs="Arial"/>
          <w:i/>
          <w:iCs/>
          <w:noProof/>
        </w:rPr>
        <w:t>Armstrong's handbook of human resource management practice: A guide to the theory and practice of people management</w:t>
      </w:r>
      <w:r w:rsidRPr="00546978">
        <w:rPr>
          <w:rFonts w:ascii="Bahnschrift" w:hAnsi="Bahnschrift" w:cs="Arial"/>
          <w:noProof/>
        </w:rPr>
        <w:t xml:space="preserve"> (16th ed.). Kogan Page.</w:t>
      </w:r>
    </w:p>
    <w:p w14:paraId="01EBA45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80C6A5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Association for Talent Development. (2022). </w:t>
      </w:r>
      <w:r w:rsidRPr="00546978">
        <w:rPr>
          <w:rFonts w:ascii="Bahnschrift" w:hAnsi="Bahnschrift" w:cs="Arial"/>
          <w:i/>
          <w:iCs/>
          <w:noProof/>
        </w:rPr>
        <w:t>How to build a personalized employee development plan</w:t>
      </w:r>
      <w:r w:rsidRPr="00546978">
        <w:rPr>
          <w:rFonts w:ascii="Bahnschrift" w:hAnsi="Bahnschrift" w:cs="Arial"/>
          <w:noProof/>
        </w:rPr>
        <w:t>. https://www.td.org/content/atd-blog/how-to-build-a-personalized-employee-development-plan</w:t>
      </w:r>
    </w:p>
    <w:p w14:paraId="1F5818B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1B9338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Cataraja, G., &amp; Cataraja, R. (2022). Evaluation of the performance of the Technical Education and Skills Development Authority (TESDA) training institutions in Region VIII. </w:t>
      </w:r>
      <w:r w:rsidRPr="00546978">
        <w:rPr>
          <w:rFonts w:ascii="Bahnschrift" w:hAnsi="Bahnschrift" w:cs="Arial"/>
          <w:i/>
          <w:iCs/>
          <w:noProof/>
        </w:rPr>
        <w:t>East Asian Journal of Multidisciplinary Research, 1</w:t>
      </w:r>
      <w:r w:rsidRPr="00546978">
        <w:rPr>
          <w:rFonts w:ascii="Bahnschrift" w:hAnsi="Bahnschrift" w:cs="Arial"/>
          <w:noProof/>
        </w:rPr>
        <w:t>(6), 947–960. https://doi.org/10.55927/eajmr.v1i6.695</w:t>
      </w:r>
    </w:p>
    <w:p w14:paraId="08FA45A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44E73A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Chalambo, D. (2023). </w:t>
      </w:r>
      <w:r w:rsidRPr="00546978">
        <w:rPr>
          <w:rFonts w:ascii="Bahnschrift" w:hAnsi="Bahnschrift" w:cs="Arial"/>
          <w:i/>
          <w:iCs/>
          <w:noProof/>
        </w:rPr>
        <w:t>Factors influencing employees retention in the construction sector of Tanzania: A case of ESTIM Construction Company Ltd.</w:t>
      </w:r>
      <w:r w:rsidRPr="00546978">
        <w:rPr>
          <w:rFonts w:ascii="Bahnschrift" w:hAnsi="Bahnschrift" w:cs="Arial"/>
          <w:noProof/>
        </w:rPr>
        <w:t xml:space="preserve"> [Master's thesis, The Open University of Tanzania]. The Open University of Tanzania Institutional Repository.</w:t>
      </w:r>
    </w:p>
    <w:p w14:paraId="50B6B32A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C043DA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Department of Labor and Employment. (1993). </w:t>
      </w:r>
      <w:r w:rsidRPr="00546978">
        <w:rPr>
          <w:rFonts w:ascii="Bahnschrift" w:hAnsi="Bahnschrift" w:cs="Arial"/>
          <w:i/>
          <w:iCs/>
          <w:noProof/>
        </w:rPr>
        <w:t>Department Order No. 19, s. 1993: Guidelines governing the employment of workers in the construction industry.</w:t>
      </w:r>
      <w:r w:rsidRPr="00546978">
        <w:rPr>
          <w:rFonts w:ascii="Bahnschrift" w:hAnsi="Bahnschrift" w:cs="Arial"/>
          <w:noProof/>
        </w:rPr>
        <w:t xml:space="preserve"> https://elibrary.judiciary.gov.ph/thebookshelf/showdocs/10/39583</w:t>
      </w:r>
    </w:p>
    <w:p w14:paraId="19BD2E7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9AD6BEC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Department of Labor and Employment. (1998). </w:t>
      </w:r>
      <w:r w:rsidRPr="00546978">
        <w:rPr>
          <w:rFonts w:ascii="Bahnschrift" w:hAnsi="Bahnschrift" w:cs="Arial"/>
          <w:i/>
          <w:iCs/>
          <w:noProof/>
        </w:rPr>
        <w:t>Department Order No. 13, s. 1998: Guidelines governing occupational safety and health in the construction industry.</w:t>
      </w:r>
      <w:r w:rsidRPr="00546978">
        <w:rPr>
          <w:rFonts w:ascii="Bahnschrift" w:hAnsi="Bahnschrift" w:cs="Arial"/>
          <w:noProof/>
        </w:rPr>
        <w:t xml:space="preserve"> https://elibrary.judiciary.gov.ph/thebookshelf/showdocs/10/43886</w:t>
      </w:r>
    </w:p>
    <w:p w14:paraId="5D11EF8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41F3A7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Doranga, N., Subedi, M., &amp; Katwal, K. (2024). Labor management practices of selected construction contractors in Nepal. </w:t>
      </w:r>
      <w:r w:rsidRPr="00546978">
        <w:rPr>
          <w:rFonts w:ascii="Bahnschrift" w:hAnsi="Bahnschrift" w:cs="Arial"/>
          <w:i/>
          <w:iCs/>
          <w:noProof/>
        </w:rPr>
        <w:t>International Journal on Engineering Technology, 1</w:t>
      </w:r>
      <w:r w:rsidRPr="00546978">
        <w:rPr>
          <w:rFonts w:ascii="Bahnschrift" w:hAnsi="Bahnschrift" w:cs="Arial"/>
          <w:noProof/>
        </w:rPr>
        <w:t>(2), 164–174. https://doi.org/10.3126/injet.v1i2.66728</w:t>
      </w:r>
    </w:p>
    <w:p w14:paraId="0D124C4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2044AD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Gabriel, D., Ismail, I. J., &amp; Jaffu, R. (2024). Linking human resource recruitment and cost performance of force account construction projects: The mediating effect of quality </w:t>
      </w:r>
      <w:r w:rsidRPr="00546978">
        <w:rPr>
          <w:rFonts w:ascii="Bahnschrift" w:hAnsi="Bahnschrift" w:cs="Arial"/>
          <w:noProof/>
        </w:rPr>
        <w:lastRenderedPageBreak/>
        <w:t xml:space="preserve">performance. </w:t>
      </w:r>
      <w:r w:rsidRPr="00546978">
        <w:rPr>
          <w:rFonts w:ascii="Bahnschrift" w:hAnsi="Bahnschrift" w:cs="Arial"/>
          <w:i/>
          <w:iCs/>
          <w:noProof/>
        </w:rPr>
        <w:t>Cogent Engineering, 11</w:t>
      </w:r>
      <w:r w:rsidRPr="00546978">
        <w:rPr>
          <w:rFonts w:ascii="Bahnschrift" w:hAnsi="Bahnschrift" w:cs="Arial"/>
          <w:noProof/>
        </w:rPr>
        <w:t>(1). https://doi.org/10.1080/23311916.2024.2422445</w:t>
      </w:r>
    </w:p>
    <w:p w14:paraId="49B7927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27AA4D7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Galve, M. A. (2025). </w:t>
      </w:r>
      <w:r w:rsidRPr="00546978">
        <w:rPr>
          <w:rFonts w:ascii="Bahnschrift" w:hAnsi="Bahnschrift" w:cs="Arial"/>
          <w:i/>
          <w:iCs/>
          <w:noProof/>
        </w:rPr>
        <w:t>Statutory benefits in the Philippines: A complete guide</w:t>
      </w:r>
      <w:r w:rsidRPr="00546978">
        <w:rPr>
          <w:rFonts w:ascii="Bahnschrift" w:hAnsi="Bahnschrift" w:cs="Arial"/>
          <w:noProof/>
        </w:rPr>
        <w:t>. Sprout. https://sprout.ph/articles/statutory-benefits-in-the-philippines/</w:t>
      </w:r>
    </w:p>
    <w:p w14:paraId="56129C21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2FC778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Gurmu, A. T., &amp; Ongkowijoyo, C. S. (2019). Predicting construction labor productivity based on implementation levels of human resource management practices. </w:t>
      </w:r>
      <w:r w:rsidRPr="00546978">
        <w:rPr>
          <w:rFonts w:ascii="Bahnschrift" w:hAnsi="Bahnschrift" w:cs="Arial"/>
          <w:i/>
          <w:iCs/>
          <w:noProof/>
        </w:rPr>
        <w:t>Journal of Construction Engineering and Management, 146</w:t>
      </w:r>
      <w:r w:rsidRPr="00546978">
        <w:rPr>
          <w:rFonts w:ascii="Bahnschrift" w:hAnsi="Bahnschrift" w:cs="Arial"/>
          <w:noProof/>
        </w:rPr>
        <w:t>(3). https://doi.org/10.1061/(ASCE)CO.1943-7862.0001775</w:t>
      </w:r>
    </w:p>
    <w:p w14:paraId="4A825234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4987EC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i/>
          <w:iCs/>
          <w:noProof/>
        </w:rPr>
        <w:t>Raul S. Imperial v. Heirs of Neil Bayaban &amp; Mary Lou Bayaban,</w:t>
      </w:r>
      <w:r w:rsidRPr="00546978">
        <w:rPr>
          <w:rFonts w:ascii="Bahnschrift" w:hAnsi="Bahnschrift" w:cs="Arial"/>
          <w:noProof/>
        </w:rPr>
        <w:t xml:space="preserve"> G.R. No. 197626, 841 Phil. 53 (Phil. Oct. 3, 2018).</w:t>
      </w:r>
    </w:p>
    <w:p w14:paraId="6943F1ED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EA5114C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John Clements Consultants. (2025). </w:t>
      </w:r>
      <w:r w:rsidRPr="00546978">
        <w:rPr>
          <w:rFonts w:ascii="Bahnschrift" w:hAnsi="Bahnschrift" w:cs="Arial"/>
          <w:i/>
          <w:iCs/>
          <w:noProof/>
        </w:rPr>
        <w:t>HR's guide to DOLE inspections compliance</w:t>
      </w:r>
      <w:r w:rsidRPr="00546978">
        <w:rPr>
          <w:rFonts w:ascii="Bahnschrift" w:hAnsi="Bahnschrift" w:cs="Arial"/>
          <w:noProof/>
        </w:rPr>
        <w:t>. https://johnclements.com/the-looking-glass/featured/dole-inspections-compliance-guide</w:t>
      </w:r>
    </w:p>
    <w:p w14:paraId="4D9588A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CA7FB7A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Karakhan, A. A., Gambatese, J., Simmons, D. R., Albert, A., &amp; Breesam, H. K. (2022). Leading indicators of the health and well-being of the construction workforce: Perception of industry professionals. </w:t>
      </w:r>
      <w:r w:rsidRPr="00546978">
        <w:rPr>
          <w:rFonts w:ascii="Bahnschrift" w:hAnsi="Bahnschrift" w:cs="Arial"/>
          <w:i/>
          <w:iCs/>
          <w:noProof/>
        </w:rPr>
        <w:t>Practice Periodical on Structural Design and Construction, 28</w:t>
      </w:r>
      <w:r w:rsidRPr="00546978">
        <w:rPr>
          <w:rFonts w:ascii="Bahnschrift" w:hAnsi="Bahnschrift" w:cs="Arial"/>
          <w:noProof/>
        </w:rPr>
        <w:t>(1). https://doi.org/10.1061/(ASCE)SC.1943-5576.0000747</w:t>
      </w:r>
    </w:p>
    <w:p w14:paraId="536779D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3BA3D7E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Kazaz, A., Manisali, E., &amp; Ulubeyli, S. (2008). Effect of basic motivational factors on construction workforce productivity in Turkey. </w:t>
      </w:r>
      <w:r w:rsidRPr="00546978">
        <w:rPr>
          <w:rFonts w:ascii="Bahnschrift" w:hAnsi="Bahnschrift" w:cs="Arial"/>
          <w:i/>
          <w:iCs/>
          <w:noProof/>
        </w:rPr>
        <w:t>Journal of Civil Engineering and Management, 14</w:t>
      </w:r>
      <w:r w:rsidRPr="00546978">
        <w:rPr>
          <w:rFonts w:ascii="Bahnschrift" w:hAnsi="Bahnschrift" w:cs="Arial"/>
          <w:noProof/>
        </w:rPr>
        <w:t>(2), 95–106. https://doi.org/10.3846/1392-3730.2008.14.4</w:t>
      </w:r>
    </w:p>
    <w:p w14:paraId="5AD5E56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ACFCB4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Lacsina, B. (2025). Performance appraisal and performance productivity of contract-of-service employees. </w:t>
      </w:r>
      <w:r w:rsidRPr="00546978">
        <w:rPr>
          <w:rFonts w:ascii="Bahnschrift" w:hAnsi="Bahnschrift" w:cs="Arial"/>
          <w:i/>
          <w:iCs/>
          <w:noProof/>
        </w:rPr>
        <w:t>Journal of Interdisciplinary Perspectives, 3</w:t>
      </w:r>
      <w:r w:rsidRPr="00546978">
        <w:rPr>
          <w:rFonts w:ascii="Bahnschrift" w:hAnsi="Bahnschrift" w:cs="Arial"/>
          <w:noProof/>
        </w:rPr>
        <w:t>(7), 398–411.</w:t>
      </w:r>
    </w:p>
    <w:p w14:paraId="08B28FB4" w14:textId="77777777" w:rsidR="00927EBE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0B681F0" w14:textId="1580C92D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Lee, T. Y., Ahmad, F., &amp; Sarijari, M. A. (2023). Current status and future research trends of construction labor productivity monitoring: A bibliometric review. </w:t>
      </w:r>
      <w:r w:rsidRPr="00546978">
        <w:rPr>
          <w:rFonts w:ascii="Bahnschrift" w:hAnsi="Bahnschrift" w:cs="Arial"/>
          <w:i/>
          <w:iCs/>
          <w:noProof/>
        </w:rPr>
        <w:t>Buildings, 13</w:t>
      </w:r>
      <w:r w:rsidRPr="00546978">
        <w:rPr>
          <w:rFonts w:ascii="Bahnschrift" w:hAnsi="Bahnschrift" w:cs="Arial"/>
          <w:noProof/>
        </w:rPr>
        <w:t>(6), 1479. https://doi.org/10.3390/buildings13061479</w:t>
      </w:r>
    </w:p>
    <w:p w14:paraId="24A3CCE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AF85F0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Loosemore, M., Dainty, A., &amp; Lingard, H. (2020). </w:t>
      </w:r>
      <w:r w:rsidRPr="00546978">
        <w:rPr>
          <w:rFonts w:ascii="Bahnschrift" w:hAnsi="Bahnschrift" w:cs="Arial"/>
          <w:i/>
          <w:iCs/>
          <w:noProof/>
        </w:rPr>
        <w:t>Human resource management in construction projects</w:t>
      </w:r>
      <w:r w:rsidRPr="00546978">
        <w:rPr>
          <w:rFonts w:ascii="Bahnschrift" w:hAnsi="Bahnschrift" w:cs="Arial"/>
          <w:noProof/>
        </w:rPr>
        <w:t>. Routledge. https://doi.org/10.4324/9780203417881</w:t>
      </w:r>
    </w:p>
    <w:p w14:paraId="6561A631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E31972A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MacDuffie, J. P. (1995). Human resource bundles and manufacturing performance: Flexible production systems in the world auto industry. </w:t>
      </w:r>
      <w:r w:rsidRPr="00546978">
        <w:rPr>
          <w:rFonts w:ascii="Bahnschrift" w:hAnsi="Bahnschrift" w:cs="Arial"/>
          <w:i/>
          <w:iCs/>
          <w:noProof/>
        </w:rPr>
        <w:t>Industrial Relations and Labor Review, 48</w:t>
      </w:r>
      <w:r w:rsidRPr="00546978">
        <w:rPr>
          <w:rFonts w:ascii="Bahnschrift" w:hAnsi="Bahnschrift" w:cs="Arial"/>
          <w:noProof/>
        </w:rPr>
        <w:t>, 197–221.</w:t>
      </w:r>
    </w:p>
    <w:p w14:paraId="7F811FA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7A7BA4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Makhubela, M., Botha, P. A., &amp; Swanepoel, S. (2016). Employees' perceptions of the effectiveness and fairness of performance management in a South African public sector institution. </w:t>
      </w:r>
      <w:r w:rsidRPr="00546978">
        <w:rPr>
          <w:rFonts w:ascii="Bahnschrift" w:hAnsi="Bahnschrift" w:cs="Arial"/>
          <w:i/>
          <w:iCs/>
          <w:noProof/>
        </w:rPr>
        <w:t>SA Journal of Human Resource Management, 14</w:t>
      </w:r>
      <w:r w:rsidRPr="00546978">
        <w:rPr>
          <w:rFonts w:ascii="Bahnschrift" w:hAnsi="Bahnschrift" w:cs="Arial"/>
          <w:noProof/>
        </w:rPr>
        <w:t>(1). https://doi.org/10.4102/sajhrm.v14i1.728</w:t>
      </w:r>
    </w:p>
    <w:p w14:paraId="18A3398D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8E3895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Manoharan, K., Dissanayake, P. B. G., Pathirana, C. K., Deegahawature, M. M. D. R., &amp; Silva, K. D. R. (2021). Perspectives of construction supervisory workers on the project-level causes affecting the efficiency of labour operations in Sri Lankan building projects. </w:t>
      </w:r>
      <w:r w:rsidRPr="00546978">
        <w:rPr>
          <w:rFonts w:ascii="Bahnschrift" w:hAnsi="Bahnschrift" w:cs="Arial"/>
          <w:i/>
          <w:iCs/>
          <w:noProof/>
        </w:rPr>
        <w:t>Journal of Technology and Value Addition, 3</w:t>
      </w:r>
      <w:r w:rsidRPr="00546978">
        <w:rPr>
          <w:rFonts w:ascii="Bahnschrift" w:hAnsi="Bahnschrift" w:cs="Arial"/>
          <w:noProof/>
        </w:rPr>
        <w:t xml:space="preserve">(2), 63–84. Uva Wellassa University. </w:t>
      </w:r>
      <w:r w:rsidRPr="00546978">
        <w:rPr>
          <w:rFonts w:ascii="Bahnschrift" w:hAnsi="Bahnschrift" w:cs="Arial"/>
          <w:noProof/>
        </w:rPr>
        <w:lastRenderedPageBreak/>
        <w:t>https://doi.org/10.4038/jtva.v3i2.54</w:t>
      </w:r>
    </w:p>
    <w:p w14:paraId="5C180A5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151BFF7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Mansor, F. A., Jusoh, Y. H. M., Hashim, M. Z., Muhammad, N., &amp; Omar, S. N. Z. (2023). Employee engagement and organizational performance. </w:t>
      </w:r>
      <w:r w:rsidRPr="00546978">
        <w:rPr>
          <w:rFonts w:ascii="Bahnschrift" w:hAnsi="Bahnschrift" w:cs="Arial"/>
          <w:i/>
          <w:iCs/>
          <w:noProof/>
        </w:rPr>
        <w:t>International Journal of Accounting, 8</w:t>
      </w:r>
      <w:r w:rsidRPr="00546978">
        <w:rPr>
          <w:rFonts w:ascii="Bahnschrift" w:hAnsi="Bahnschrift" w:cs="Arial"/>
          <w:noProof/>
        </w:rPr>
        <w:t>(50), 69–80.</w:t>
      </w:r>
    </w:p>
    <w:p w14:paraId="583E331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53A89FD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McLean, G. N. (2014). </w:t>
      </w:r>
      <w:r w:rsidRPr="00546978">
        <w:rPr>
          <w:rFonts w:ascii="Bahnschrift" w:hAnsi="Bahnschrift" w:cs="Arial"/>
          <w:i/>
          <w:iCs/>
          <w:noProof/>
        </w:rPr>
        <w:t>Human capital theories and practices: Gaining a competitive advantage through national HRD</w:t>
      </w:r>
      <w:r w:rsidRPr="00546978">
        <w:rPr>
          <w:rFonts w:ascii="Bahnschrift" w:hAnsi="Bahnschrift" w:cs="Arial"/>
          <w:noProof/>
        </w:rPr>
        <w:t xml:space="preserve"> [Presentation]. Faculty of Social Sciences and Humanities, Mahidol University.</w:t>
      </w:r>
    </w:p>
    <w:p w14:paraId="11CC9531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08429F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Mustafa, B., &amp; Lleshi, S. (2024). The impact of lifelong learning and investments in employee development on employee productivity and performance. </w:t>
      </w:r>
      <w:r w:rsidRPr="00546978">
        <w:rPr>
          <w:rFonts w:ascii="Bahnschrift" w:hAnsi="Bahnschrift" w:cs="Arial"/>
          <w:i/>
          <w:iCs/>
          <w:noProof/>
        </w:rPr>
        <w:t>Multidisciplinary Reviews, 7</w:t>
      </w:r>
      <w:r w:rsidRPr="00546978">
        <w:rPr>
          <w:rFonts w:ascii="Bahnschrift" w:hAnsi="Bahnschrift" w:cs="Arial"/>
          <w:noProof/>
        </w:rPr>
        <w:t>(8), 2024175. https://doi.org/10.31893/multirev.2024175</w:t>
      </w:r>
    </w:p>
    <w:p w14:paraId="194A557A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3BDE91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Ndudi, F. O., Okoro, C. S., &amp; Eze, U. C. (2023). Human resource management practices and productivity in construction firms. </w:t>
      </w:r>
      <w:r w:rsidRPr="00546978">
        <w:rPr>
          <w:rFonts w:ascii="Bahnschrift" w:hAnsi="Bahnschrift" w:cs="Arial"/>
          <w:i/>
          <w:iCs/>
          <w:noProof/>
        </w:rPr>
        <w:t>International Journal of Construction Management, 23</w:t>
      </w:r>
      <w:r w:rsidRPr="00546978">
        <w:rPr>
          <w:rFonts w:ascii="Bahnschrift" w:hAnsi="Bahnschrift" w:cs="Arial"/>
          <w:noProof/>
        </w:rPr>
        <w:t>(4), 689–702. https://doi.org/10.1080/15623599.2021.1882745</w:t>
      </w:r>
    </w:p>
    <w:p w14:paraId="37A3BA9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F395B1E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Nkuba, G. M., &amp; Mtebe, N. (2023). The influence of health and safety practices on employee performance: A case study of TBL Mwanza. </w:t>
      </w:r>
      <w:r w:rsidRPr="00546978">
        <w:rPr>
          <w:rFonts w:ascii="Bahnschrift" w:hAnsi="Bahnschrift" w:cs="Arial"/>
          <w:i/>
          <w:iCs/>
          <w:noProof/>
        </w:rPr>
        <w:t>Direct Research Journal of Management and Strategic Studies, 4</w:t>
      </w:r>
      <w:r w:rsidRPr="00546978">
        <w:rPr>
          <w:rFonts w:ascii="Bahnschrift" w:hAnsi="Bahnschrift" w:cs="Arial"/>
          <w:noProof/>
        </w:rPr>
        <w:t>(1), 1–7. https://doi.org/10.26765/DRJMSS2716389052</w:t>
      </w:r>
    </w:p>
    <w:p w14:paraId="76694CD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B59DC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Okafor, C. M., Wedraogo, L., Essandoh, S., Sakyi, J. K., Ibrahim, A. K., Babalola, A. S., &amp; Adenuga, M. A. (2025). Analysis of human resource development initiatives and employee career progression. </w:t>
      </w:r>
      <w:r w:rsidRPr="00546978">
        <w:rPr>
          <w:rFonts w:ascii="Bahnschrift" w:hAnsi="Bahnschrift" w:cs="Arial"/>
          <w:i/>
          <w:iCs/>
          <w:noProof/>
        </w:rPr>
        <w:t>International Journal of Multidisciplinary Futuristic Development, 6</w:t>
      </w:r>
      <w:r w:rsidRPr="00546978">
        <w:rPr>
          <w:rFonts w:ascii="Bahnschrift" w:hAnsi="Bahnschrift" w:cs="Arial"/>
          <w:noProof/>
        </w:rPr>
        <w:t>(1), 55–64. https://doi.org/10.54660/IJMFD.2025.6.1.55-64</w:t>
      </w:r>
    </w:p>
    <w:p w14:paraId="12720A9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C0D515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Oluwatosin, E. A. (2024). Human resource management in construction. </w:t>
      </w:r>
      <w:r w:rsidRPr="00546978">
        <w:rPr>
          <w:rFonts w:ascii="Bahnschrift" w:hAnsi="Bahnschrift" w:cs="Arial"/>
          <w:i/>
          <w:iCs/>
          <w:noProof/>
        </w:rPr>
        <w:t>International Journal of Research Publication and Reviews, 5</w:t>
      </w:r>
      <w:r w:rsidRPr="00546978">
        <w:rPr>
          <w:rFonts w:ascii="Bahnschrift" w:hAnsi="Bahnschrift" w:cs="Arial"/>
          <w:noProof/>
        </w:rPr>
        <w:t>(7), 450–457. https://doi.org/10.55248/gengpi.5.0724.1613</w:t>
      </w:r>
    </w:p>
    <w:p w14:paraId="65F76F6B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07A47C4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Republic Act No. 7796. (1994). </w:t>
      </w:r>
      <w:r w:rsidRPr="00546978">
        <w:rPr>
          <w:rFonts w:ascii="Bahnschrift" w:hAnsi="Bahnschrift" w:cs="Arial"/>
          <w:i/>
          <w:iCs/>
          <w:noProof/>
        </w:rPr>
        <w:t>Technical Education and Skills Development Act of 1994</w:t>
      </w:r>
      <w:r w:rsidRPr="00546978">
        <w:rPr>
          <w:rFonts w:ascii="Bahnschrift" w:hAnsi="Bahnschrift" w:cs="Arial"/>
          <w:noProof/>
        </w:rPr>
        <w:t>. https://ldr.senate.gov.ph/legislative%2Bissuances/Republic%20Act%20No.%207796</w:t>
      </w:r>
    </w:p>
    <w:p w14:paraId="4E20199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83C66C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Rhumbix. (2024). </w:t>
      </w:r>
      <w:r w:rsidRPr="00546978">
        <w:rPr>
          <w:rFonts w:ascii="Bahnschrift" w:hAnsi="Bahnschrift" w:cs="Arial"/>
          <w:i/>
          <w:iCs/>
          <w:noProof/>
        </w:rPr>
        <w:t>7 strategies for construction labor optimization</w:t>
      </w:r>
      <w:r w:rsidRPr="00546978">
        <w:rPr>
          <w:rFonts w:ascii="Bahnschrift" w:hAnsi="Bahnschrift" w:cs="Arial"/>
          <w:noProof/>
        </w:rPr>
        <w:t>. https://www.rhumbix.com/blog/7-strategies-for-construction-labor-optimization</w:t>
      </w:r>
    </w:p>
    <w:p w14:paraId="1A5FF90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EE12236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Richer, M. (2024). </w:t>
      </w:r>
      <w:r w:rsidRPr="00546978">
        <w:rPr>
          <w:rFonts w:ascii="Bahnschrift" w:hAnsi="Bahnschrift" w:cs="Arial"/>
          <w:i/>
          <w:iCs/>
          <w:noProof/>
        </w:rPr>
        <w:t>8 top challenges and issues in the construction industry</w:t>
      </w:r>
      <w:r w:rsidRPr="00546978">
        <w:rPr>
          <w:rFonts w:ascii="Bahnschrift" w:hAnsi="Bahnschrift" w:cs="Arial"/>
          <w:noProof/>
        </w:rPr>
        <w:t>. Bridgit. https://gobridgit.com/blog/8-top-challenges-in-construction-industry</w:t>
      </w:r>
    </w:p>
    <w:p w14:paraId="4DEA52F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17D0C5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Siman, B. P. (2023). A critical analysis of the Philippine construction industry: Current trends, forecast, and business focus for engineering design firms. </w:t>
      </w:r>
      <w:r w:rsidRPr="00546978">
        <w:rPr>
          <w:rFonts w:ascii="Bahnschrift" w:hAnsi="Bahnschrift" w:cs="Arial"/>
          <w:i/>
          <w:iCs/>
          <w:noProof/>
        </w:rPr>
        <w:t>International Journal of Multidisciplinary Applied Business and Education Research, 4</w:t>
      </w:r>
      <w:r w:rsidRPr="00546978">
        <w:rPr>
          <w:rFonts w:ascii="Bahnschrift" w:hAnsi="Bahnschrift" w:cs="Arial"/>
          <w:noProof/>
        </w:rPr>
        <w:t>(8), 2691–2699. https://doi.org/10.11594/ijmaber.04.08.01</w:t>
      </w:r>
    </w:p>
    <w:p w14:paraId="254E69AD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C38DB0D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Singh, A. R., Singh, S., &amp; Prajapat, D. (2025). Optimizing construction project scheduling and resource allocation using machine learning techniques. </w:t>
      </w:r>
      <w:r w:rsidRPr="00546978">
        <w:rPr>
          <w:rFonts w:ascii="Bahnschrift" w:hAnsi="Bahnschrift" w:cs="Arial"/>
          <w:i/>
          <w:iCs/>
          <w:noProof/>
        </w:rPr>
        <w:t>International Journal for Research in Applied Science and Engineering Technology, 13</w:t>
      </w:r>
      <w:r w:rsidRPr="00546978">
        <w:rPr>
          <w:rFonts w:ascii="Bahnschrift" w:hAnsi="Bahnschrift" w:cs="Arial"/>
          <w:noProof/>
        </w:rPr>
        <w:t>(8), 1034–1040. https://doi.org/10.22214/ijraset.2025.73529</w:t>
      </w:r>
    </w:p>
    <w:p w14:paraId="3C386D52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BC6B65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Statista. (2025). </w:t>
      </w:r>
      <w:r w:rsidRPr="00546978">
        <w:rPr>
          <w:rFonts w:ascii="Bahnschrift" w:hAnsi="Bahnschrift" w:cs="Arial"/>
          <w:i/>
          <w:iCs/>
          <w:noProof/>
        </w:rPr>
        <w:t>Construction sector in the Philippines</w:t>
      </w:r>
      <w:r w:rsidRPr="00546978">
        <w:rPr>
          <w:rFonts w:ascii="Bahnschrift" w:hAnsi="Bahnschrift" w:cs="Arial"/>
          <w:noProof/>
        </w:rPr>
        <w:t>. https://www.statista.com/topics/6011/construction-sector-in-the-philippines/</w:t>
      </w:r>
    </w:p>
    <w:p w14:paraId="714DC905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025C578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Thomas, H., Smith, R. R., &amp; Diez, F. (2013). </w:t>
      </w:r>
      <w:r w:rsidRPr="00546978">
        <w:rPr>
          <w:rFonts w:ascii="Bahnschrift" w:hAnsi="Bahnschrift" w:cs="Arial"/>
          <w:i/>
          <w:iCs/>
          <w:noProof/>
        </w:rPr>
        <w:t>Human capital and global business strategy</w:t>
      </w:r>
      <w:r w:rsidRPr="00546978">
        <w:rPr>
          <w:rFonts w:ascii="Bahnschrift" w:hAnsi="Bahnschrift" w:cs="Arial"/>
          <w:noProof/>
        </w:rPr>
        <w:t xml:space="preserve">. Cambridge University Press. https://doi.org/10.1017/CBO9781139519380 </w:t>
      </w:r>
    </w:p>
    <w:p w14:paraId="541561C9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3554A0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Verma, R., Mathur, R., Pahuja, S., Kumar, P., &amp; Dadwal, S. (2026). The evolution of human resource management: From traditional practices to digital twin-driven approaches. In C. Sachdeva, V. Grover, V. P. Gangwar, &amp; P. Kumar (Eds.), </w:t>
      </w:r>
      <w:r w:rsidRPr="00546978">
        <w:rPr>
          <w:rFonts w:ascii="Bahnschrift" w:hAnsi="Bahnschrift" w:cs="Arial"/>
          <w:i/>
          <w:iCs/>
          <w:noProof/>
        </w:rPr>
        <w:t>HR 5.0 integration: Unleashing the potential of the digital twin revolution</w:t>
      </w:r>
      <w:r w:rsidRPr="00546978">
        <w:rPr>
          <w:rFonts w:ascii="Bahnschrift" w:hAnsi="Bahnschrift" w:cs="Arial"/>
          <w:noProof/>
        </w:rPr>
        <w:t xml:space="preserve"> (pp. 25–44). Emerald Publishing Limited. https://doi.org/10.1108/978-1-83708-112-720261002 </w:t>
      </w:r>
    </w:p>
    <w:p w14:paraId="0A0547CF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7A08733" w14:textId="77777777" w:rsidR="00927EBE" w:rsidRPr="00546978" w:rsidRDefault="00927EBE" w:rsidP="00927EBE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546978">
        <w:rPr>
          <w:rFonts w:ascii="Bahnschrift" w:hAnsi="Bahnschrift" w:cs="Arial"/>
          <w:noProof/>
        </w:rPr>
        <w:t xml:space="preserve">Wuttaphan, N. (2017). </w:t>
      </w:r>
      <w:r w:rsidRPr="00546978">
        <w:rPr>
          <w:rFonts w:ascii="Bahnschrift" w:hAnsi="Bahnschrift" w:cs="Arial"/>
          <w:i/>
          <w:iCs/>
          <w:noProof/>
        </w:rPr>
        <w:t>Human capital theory: The theory of human resource development, implications, and future</w:t>
      </w:r>
      <w:r w:rsidRPr="00546978">
        <w:rPr>
          <w:rFonts w:ascii="Bahnschrift" w:hAnsi="Bahnschrift" w:cs="Arial"/>
          <w:noProof/>
        </w:rPr>
        <w:t>. Faculty of Management Sciences, Pibulsongkram Rajabhat University. https://www.researchgate.net/profile/Naphat-Wuttaphan/publication/344166132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AC4E4" w14:textId="77777777" w:rsidR="00A90C80" w:rsidRDefault="00A90C80" w:rsidP="00290EE2">
      <w:pPr>
        <w:spacing w:after="0" w:line="240" w:lineRule="auto"/>
      </w:pPr>
      <w:r>
        <w:separator/>
      </w:r>
    </w:p>
  </w:endnote>
  <w:endnote w:type="continuationSeparator" w:id="0">
    <w:p w14:paraId="47851474" w14:textId="77777777" w:rsidR="00A90C80" w:rsidRDefault="00A90C80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843FF" w14:textId="77777777" w:rsidR="00A90C80" w:rsidRDefault="00A90C80" w:rsidP="00290EE2">
      <w:pPr>
        <w:spacing w:after="0" w:line="240" w:lineRule="auto"/>
      </w:pPr>
      <w:r>
        <w:separator/>
      </w:r>
    </w:p>
  </w:footnote>
  <w:footnote w:type="continuationSeparator" w:id="0">
    <w:p w14:paraId="7EA30CC0" w14:textId="77777777" w:rsidR="00A90C80" w:rsidRDefault="00A90C80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46867"/>
    <w:rsid w:val="00254848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27EBE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0C80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EB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59</cp:revision>
  <cp:lastPrinted>2026-02-21T05:03:00Z</cp:lastPrinted>
  <dcterms:created xsi:type="dcterms:W3CDTF">2025-12-03T11:08:00Z</dcterms:created>
  <dcterms:modified xsi:type="dcterms:W3CDTF">2026-09-24T04:48:00Z</dcterms:modified>
</cp:coreProperties>
</file>