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71704" w14:textId="77777777" w:rsidR="0052052D" w:rsidRPr="00572218" w:rsidRDefault="0052052D" w:rsidP="0052052D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572218">
        <w:rPr>
          <w:rFonts w:ascii="Arial Rounded MT Bold" w:hAnsi="Arial Rounded MT Bold"/>
          <w:b/>
          <w:bCs/>
        </w:rPr>
        <w:t>REFERENCES</w:t>
      </w:r>
    </w:p>
    <w:p w14:paraId="504ADAE1" w14:textId="77777777" w:rsidR="0052052D" w:rsidRPr="00857E87" w:rsidRDefault="0052052D" w:rsidP="0052052D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62BBCF30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Ajayi, S. O., Oyedele, L. O., </w:t>
      </w:r>
      <w:proofErr w:type="spellStart"/>
      <w:r w:rsidRPr="00B130BD">
        <w:rPr>
          <w:rFonts w:ascii="Bahnschrift" w:hAnsi="Bahnschrift"/>
        </w:rPr>
        <w:t>Akinade</w:t>
      </w:r>
      <w:proofErr w:type="spellEnd"/>
      <w:r w:rsidRPr="00B130BD">
        <w:rPr>
          <w:rFonts w:ascii="Bahnschrift" w:hAnsi="Bahnschrift"/>
        </w:rPr>
        <w:t xml:space="preserve">, O. O., Bilal, M., Owolabi, H. A., Alaka, H. A., &amp; Kadiri, K. O. (2015). Waste effectiveness of the construction industry: Understanding the impediments and requisites for improvements. </w:t>
      </w:r>
      <w:r w:rsidRPr="00B130BD">
        <w:rPr>
          <w:rFonts w:ascii="Bahnschrift" w:hAnsi="Bahnschrift"/>
          <w:i/>
          <w:iCs/>
        </w:rPr>
        <w:t>Resources, Conservation and Recycling, 102</w:t>
      </w:r>
      <w:r w:rsidRPr="00B130BD">
        <w:rPr>
          <w:rFonts w:ascii="Bahnschrift" w:hAnsi="Bahnschrift"/>
        </w:rPr>
        <w:t>, 101–112. https://doi.org/10.1016/j.resconrec.2015.06.001</w:t>
      </w:r>
    </w:p>
    <w:p w14:paraId="5A086264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EB37D22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Ajzen, I. (1991). The theory of planned behavior. </w:t>
      </w:r>
      <w:r w:rsidRPr="00B130BD">
        <w:rPr>
          <w:rFonts w:ascii="Bahnschrift" w:hAnsi="Bahnschrift"/>
          <w:i/>
          <w:iCs/>
        </w:rPr>
        <w:t>Organizational Behavior and Human Decision Processes, 50</w:t>
      </w:r>
      <w:r w:rsidRPr="00B130BD">
        <w:rPr>
          <w:rFonts w:ascii="Bahnschrift" w:hAnsi="Bahnschrift"/>
        </w:rPr>
        <w:t>(2), 179–211. https://doi.org/10.1016/0749-5978(91)90020-T</w:t>
      </w:r>
    </w:p>
    <w:p w14:paraId="16D43CEC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731ECB8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B130BD">
        <w:rPr>
          <w:rFonts w:ascii="Bahnschrift" w:hAnsi="Bahnschrift"/>
        </w:rPr>
        <w:t>Bamgbade</w:t>
      </w:r>
      <w:proofErr w:type="spellEnd"/>
      <w:r w:rsidRPr="00B130BD">
        <w:rPr>
          <w:rFonts w:ascii="Bahnschrift" w:hAnsi="Bahnschrift"/>
        </w:rPr>
        <w:t xml:space="preserve">, J. A., </w:t>
      </w:r>
      <w:proofErr w:type="spellStart"/>
      <w:r w:rsidRPr="00B130BD">
        <w:rPr>
          <w:rFonts w:ascii="Bahnschrift" w:hAnsi="Bahnschrift"/>
        </w:rPr>
        <w:t>Kamaruddeen</w:t>
      </w:r>
      <w:proofErr w:type="spellEnd"/>
      <w:r w:rsidRPr="00B130BD">
        <w:rPr>
          <w:rFonts w:ascii="Bahnschrift" w:hAnsi="Bahnschrift"/>
        </w:rPr>
        <w:t xml:space="preserve">, A. M., Nawi, M. N. M., Adeleke, A. Q., </w:t>
      </w:r>
      <w:proofErr w:type="spellStart"/>
      <w:r w:rsidRPr="00B130BD">
        <w:rPr>
          <w:rFonts w:ascii="Bahnschrift" w:hAnsi="Bahnschrift"/>
        </w:rPr>
        <w:t>Salimon</w:t>
      </w:r>
      <w:proofErr w:type="spellEnd"/>
      <w:r w:rsidRPr="00B130BD">
        <w:rPr>
          <w:rFonts w:ascii="Bahnschrift" w:hAnsi="Bahnschrift"/>
        </w:rPr>
        <w:t xml:space="preserve">, M. G., &amp; Ajibike, W. A. (2019). Analysis of barriers to sustainable construction waste management in developing countries. </w:t>
      </w:r>
      <w:r w:rsidRPr="00B130BD">
        <w:rPr>
          <w:rFonts w:ascii="Bahnschrift" w:hAnsi="Bahnschrift"/>
          <w:i/>
          <w:iCs/>
        </w:rPr>
        <w:t>Sustainability, 11</w:t>
      </w:r>
      <w:r w:rsidRPr="00B130BD">
        <w:rPr>
          <w:rFonts w:ascii="Bahnschrift" w:hAnsi="Bahnschrift"/>
        </w:rPr>
        <w:t>(23), 6789. https://doi.org/10.3390/su11236789</w:t>
      </w:r>
    </w:p>
    <w:p w14:paraId="01533786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085B9A3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Chileshe, N., </w:t>
      </w:r>
      <w:proofErr w:type="spellStart"/>
      <w:r w:rsidRPr="00B130BD">
        <w:rPr>
          <w:rFonts w:ascii="Bahnschrift" w:hAnsi="Bahnschrift"/>
        </w:rPr>
        <w:t>Rameezdeen</w:t>
      </w:r>
      <w:proofErr w:type="spellEnd"/>
      <w:r w:rsidRPr="00B130BD">
        <w:rPr>
          <w:rFonts w:ascii="Bahnschrift" w:hAnsi="Bahnschrift"/>
        </w:rPr>
        <w:t>, R., Hosseini, M. R., &amp; Lehmann, S. (2015). Barriers to implementing reverse logistics in South Australian construction organi</w:t>
      </w:r>
      <w:r>
        <w:rPr>
          <w:rFonts w:ascii="Bahnschrift" w:hAnsi="Bahnschrift"/>
        </w:rPr>
        <w:t>z</w:t>
      </w:r>
      <w:r w:rsidRPr="00B130BD">
        <w:rPr>
          <w:rFonts w:ascii="Bahnschrift" w:hAnsi="Bahnschrift"/>
        </w:rPr>
        <w:t xml:space="preserve">ations. </w:t>
      </w:r>
      <w:r w:rsidRPr="00B130BD">
        <w:rPr>
          <w:rFonts w:ascii="Bahnschrift" w:hAnsi="Bahnschrift"/>
          <w:i/>
          <w:iCs/>
        </w:rPr>
        <w:t>Supply Chain Management: An International Journal, 20</w:t>
      </w:r>
      <w:r w:rsidRPr="00B130BD">
        <w:rPr>
          <w:rFonts w:ascii="Bahnschrift" w:hAnsi="Bahnschrift"/>
        </w:rPr>
        <w:t>(2), 179–204. https://doi.org/10.1108/SCM-10-2014-0325</w:t>
      </w:r>
    </w:p>
    <w:p w14:paraId="552F97A1" w14:textId="77777777" w:rsidR="0052052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DD8D2C8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de Oliveira, J., Schreiber, D., &amp; </w:t>
      </w:r>
      <w:proofErr w:type="spellStart"/>
      <w:r w:rsidRPr="00B130BD">
        <w:rPr>
          <w:rFonts w:ascii="Bahnschrift" w:hAnsi="Bahnschrift"/>
        </w:rPr>
        <w:t>Jahno</w:t>
      </w:r>
      <w:proofErr w:type="spellEnd"/>
      <w:r w:rsidRPr="00B130BD">
        <w:rPr>
          <w:rFonts w:ascii="Bahnschrift" w:hAnsi="Bahnschrift"/>
        </w:rPr>
        <w:t xml:space="preserve">, V. D. (2024). Circular economy and buildings as material banks in mitigation of environmental impacts from construction and demolition waste. </w:t>
      </w:r>
      <w:r w:rsidRPr="00B130BD">
        <w:rPr>
          <w:rFonts w:ascii="Bahnschrift" w:hAnsi="Bahnschrift"/>
          <w:i/>
          <w:iCs/>
        </w:rPr>
        <w:t>Sustainability, 16</w:t>
      </w:r>
      <w:r w:rsidRPr="00B130BD">
        <w:rPr>
          <w:rFonts w:ascii="Bahnschrift" w:hAnsi="Bahnschrift"/>
        </w:rPr>
        <w:t>(12), 5022. https://doi.org/10.3390/su16125022</w:t>
      </w:r>
    </w:p>
    <w:p w14:paraId="221B0D96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2E4FF8C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Department of Public Works and Highways. (2015). </w:t>
      </w:r>
      <w:r w:rsidRPr="00B130BD">
        <w:rPr>
          <w:rFonts w:ascii="Bahnschrift" w:hAnsi="Bahnschrift"/>
          <w:i/>
          <w:iCs/>
        </w:rPr>
        <w:t>Philippine Green Building Code.</w:t>
      </w:r>
      <w:r w:rsidRPr="00B130BD">
        <w:rPr>
          <w:rFonts w:ascii="Bahnschrift" w:hAnsi="Bahnschrift"/>
        </w:rPr>
        <w:t xml:space="preserve"> Government of the Philippines.</w:t>
      </w:r>
    </w:p>
    <w:p w14:paraId="262C5F59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F52A9BC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Lu, W., &amp; Yuan, H. (2011). A framework for understanding waste management studies in construction. </w:t>
      </w:r>
      <w:r w:rsidRPr="00B130BD">
        <w:rPr>
          <w:rFonts w:ascii="Bahnschrift" w:hAnsi="Bahnschrift"/>
          <w:i/>
          <w:iCs/>
        </w:rPr>
        <w:t>Waste Management, 31</w:t>
      </w:r>
      <w:r w:rsidRPr="00B130BD">
        <w:rPr>
          <w:rFonts w:ascii="Bahnschrift" w:hAnsi="Bahnschrift"/>
        </w:rPr>
        <w:t>(6), 1252–1260. https://doi.org/10.1016/j.wasman.2011.01.018</w:t>
      </w:r>
    </w:p>
    <w:p w14:paraId="714657F4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2A9107F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Philippine Statistics Authority [PSA]. (2025a). </w:t>
      </w:r>
      <w:r w:rsidRPr="00B130BD">
        <w:rPr>
          <w:rFonts w:ascii="Bahnschrift" w:hAnsi="Bahnschrift"/>
          <w:i/>
          <w:iCs/>
        </w:rPr>
        <w:t>Compendium of Philippine environment statistics: Component 3—Residuals.</w:t>
      </w:r>
    </w:p>
    <w:p w14:paraId="1AEA9E7F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5CF371E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Philippine Statistics Authority. (2025b). </w:t>
      </w:r>
      <w:r w:rsidRPr="00B130BD">
        <w:rPr>
          <w:rFonts w:ascii="Bahnschrift" w:hAnsi="Bahnschrift"/>
          <w:i/>
          <w:iCs/>
        </w:rPr>
        <w:t>Construction statistics from approved building permits: Philippines, 2024.</w:t>
      </w:r>
    </w:p>
    <w:p w14:paraId="69825097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75A90C3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Republic Act No. 9003. (2001). </w:t>
      </w:r>
      <w:r w:rsidRPr="00B130BD">
        <w:rPr>
          <w:rFonts w:ascii="Bahnschrift" w:hAnsi="Bahnschrift"/>
          <w:i/>
          <w:iCs/>
        </w:rPr>
        <w:t>Ecological Solid Waste Management Act of 2000.</w:t>
      </w:r>
      <w:r w:rsidRPr="00B130BD">
        <w:rPr>
          <w:rFonts w:ascii="Bahnschrift" w:hAnsi="Bahnschrift"/>
        </w:rPr>
        <w:t xml:space="preserve"> Republic of the Philippines.</w:t>
      </w:r>
    </w:p>
    <w:p w14:paraId="787075DB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D665DC7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United Nations. (2015). </w:t>
      </w:r>
      <w:r w:rsidRPr="00B130BD">
        <w:rPr>
          <w:rFonts w:ascii="Bahnschrift" w:hAnsi="Bahnschrift"/>
          <w:i/>
          <w:iCs/>
        </w:rPr>
        <w:t>Transforming our world: The 2030 Agenda for Sustainable Development.</w:t>
      </w:r>
      <w:r w:rsidRPr="00B130BD">
        <w:rPr>
          <w:rFonts w:ascii="Bahnschrift" w:hAnsi="Bahnschrift"/>
        </w:rPr>
        <w:t xml:space="preserve"> Resolution adopted by the General Assembly (A/RES/70/1).</w:t>
      </w:r>
    </w:p>
    <w:p w14:paraId="2B2861A7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7370CA6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United Nations Environment </w:t>
      </w:r>
      <w:proofErr w:type="spellStart"/>
      <w:r w:rsidRPr="00B130BD">
        <w:rPr>
          <w:rFonts w:ascii="Bahnschrift" w:hAnsi="Bahnschrift"/>
        </w:rPr>
        <w:t>Programme</w:t>
      </w:r>
      <w:proofErr w:type="spellEnd"/>
      <w:r w:rsidRPr="00B130BD">
        <w:rPr>
          <w:rFonts w:ascii="Bahnschrift" w:hAnsi="Bahnschrift"/>
        </w:rPr>
        <w:t xml:space="preserve">. (2026). </w:t>
      </w:r>
      <w:r w:rsidRPr="00B130BD">
        <w:rPr>
          <w:rFonts w:ascii="Bahnschrift" w:hAnsi="Bahnschrift"/>
          <w:i/>
          <w:iCs/>
        </w:rPr>
        <w:t>Global status report for buildings and construction 2025–2026.</w:t>
      </w:r>
      <w:r w:rsidRPr="00B130BD">
        <w:rPr>
          <w:rFonts w:ascii="Bahnschrift" w:hAnsi="Bahnschrift"/>
        </w:rPr>
        <w:t xml:space="preserve"> https://doi.org/10.59117/20.500.11822/49531</w:t>
      </w:r>
    </w:p>
    <w:p w14:paraId="25ED1300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2FEA08C" w14:textId="77777777" w:rsidR="0052052D" w:rsidRPr="00B130B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t xml:space="preserve">Yuan, H. (2013). A SWOT analysis of successful construction waste management. </w:t>
      </w:r>
      <w:r w:rsidRPr="00B130BD">
        <w:rPr>
          <w:rFonts w:ascii="Bahnschrift" w:hAnsi="Bahnschrift"/>
          <w:i/>
          <w:iCs/>
        </w:rPr>
        <w:t>Journal of Cleaner Production, 39</w:t>
      </w:r>
      <w:r w:rsidRPr="00B130BD">
        <w:rPr>
          <w:rFonts w:ascii="Bahnschrift" w:hAnsi="Bahnschrift"/>
        </w:rPr>
        <w:t>, 1–8. https://doi.org/10.1016/j.jclepro.2012.08.016</w:t>
      </w:r>
    </w:p>
    <w:p w14:paraId="4D61E184" w14:textId="77777777" w:rsidR="0052052D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F1569CF" w14:textId="77777777" w:rsidR="0052052D" w:rsidRPr="00857E87" w:rsidRDefault="0052052D" w:rsidP="0052052D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B130BD">
        <w:rPr>
          <w:rFonts w:ascii="Bahnschrift" w:hAnsi="Bahnschrift"/>
        </w:rPr>
        <w:lastRenderedPageBreak/>
        <w:t xml:space="preserve">Yuan, H., Shen, L., Hao, J. J. L., &amp; Lu, W. (2011). A model for cost-benefit analysis of construction and demolition waste management throughout the waste chain. </w:t>
      </w:r>
      <w:r w:rsidRPr="00B130BD">
        <w:rPr>
          <w:rFonts w:ascii="Bahnschrift" w:hAnsi="Bahnschrift"/>
          <w:i/>
          <w:iCs/>
        </w:rPr>
        <w:t>Resources, Conservation and Recycling, 55</w:t>
      </w:r>
      <w:r w:rsidRPr="00B130BD">
        <w:rPr>
          <w:rFonts w:ascii="Bahnschrift" w:hAnsi="Bahnschrift"/>
        </w:rPr>
        <w:t>(6), 604–612. https://doi.org/10.1016/j.resconrec.2010.06.004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D9E50" w14:textId="77777777" w:rsidR="00A121EB" w:rsidRDefault="00A121EB" w:rsidP="00290EE2">
      <w:pPr>
        <w:spacing w:after="0" w:line="240" w:lineRule="auto"/>
      </w:pPr>
      <w:r>
        <w:separator/>
      </w:r>
    </w:p>
  </w:endnote>
  <w:endnote w:type="continuationSeparator" w:id="0">
    <w:p w14:paraId="635CA96D" w14:textId="77777777" w:rsidR="00A121EB" w:rsidRDefault="00A121EB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76B6A" w14:textId="77777777" w:rsidR="00A121EB" w:rsidRDefault="00A121EB" w:rsidP="00290EE2">
      <w:pPr>
        <w:spacing w:after="0" w:line="240" w:lineRule="auto"/>
      </w:pPr>
      <w:r>
        <w:separator/>
      </w:r>
    </w:p>
  </w:footnote>
  <w:footnote w:type="continuationSeparator" w:id="0">
    <w:p w14:paraId="5C57041B" w14:textId="77777777" w:rsidR="00A121EB" w:rsidRDefault="00A121EB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A0ACD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85B27"/>
    <w:rsid w:val="00487414"/>
    <w:rsid w:val="004B00A8"/>
    <w:rsid w:val="00502558"/>
    <w:rsid w:val="00513D4A"/>
    <w:rsid w:val="0052052D"/>
    <w:rsid w:val="00533882"/>
    <w:rsid w:val="00535BAD"/>
    <w:rsid w:val="00555061"/>
    <w:rsid w:val="005611F8"/>
    <w:rsid w:val="00567107"/>
    <w:rsid w:val="005B5DD9"/>
    <w:rsid w:val="005C1604"/>
    <w:rsid w:val="005D4E9F"/>
    <w:rsid w:val="005E50C0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59D7"/>
    <w:rsid w:val="006F7E14"/>
    <w:rsid w:val="00755F49"/>
    <w:rsid w:val="0076121C"/>
    <w:rsid w:val="00766FAB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500D8"/>
    <w:rsid w:val="009518D7"/>
    <w:rsid w:val="0095365A"/>
    <w:rsid w:val="0095714A"/>
    <w:rsid w:val="00991E5A"/>
    <w:rsid w:val="009C0634"/>
    <w:rsid w:val="00A121EB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BD249A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D2AA4"/>
    <w:rsid w:val="00EE5033"/>
    <w:rsid w:val="00EF0898"/>
    <w:rsid w:val="00F15E24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52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53</cp:revision>
  <cp:lastPrinted>2026-02-21T05:03:00Z</cp:lastPrinted>
  <dcterms:created xsi:type="dcterms:W3CDTF">2025-12-03T11:08:00Z</dcterms:created>
  <dcterms:modified xsi:type="dcterms:W3CDTF">2026-09-17T01:28:00Z</dcterms:modified>
</cp:coreProperties>
</file>