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AE8BF" w14:textId="77777777" w:rsidR="009C51F1" w:rsidRPr="00710B52" w:rsidRDefault="009C51F1" w:rsidP="009C51F1">
      <w:pPr>
        <w:suppressLineNumbers/>
        <w:spacing w:after="0" w:line="240" w:lineRule="auto"/>
        <w:jc w:val="both"/>
        <w:rPr>
          <w:rFonts w:ascii="Arial Rounded MT Bold" w:hAnsi="Arial Rounded MT Bold"/>
          <w:b/>
          <w:bCs/>
        </w:rPr>
      </w:pPr>
      <w:r w:rsidRPr="00710B52">
        <w:rPr>
          <w:rFonts w:ascii="Arial Rounded MT Bold" w:hAnsi="Arial Rounded MT Bold"/>
          <w:b/>
          <w:bCs/>
        </w:rPr>
        <w:t>REFERENCES</w:t>
      </w:r>
    </w:p>
    <w:p w14:paraId="07EFA1E9" w14:textId="77777777" w:rsidR="009C51F1" w:rsidRPr="00710B52" w:rsidRDefault="009C51F1" w:rsidP="009C51F1">
      <w:pPr>
        <w:spacing w:after="0" w:line="240" w:lineRule="auto"/>
        <w:jc w:val="both"/>
        <w:rPr>
          <w:rFonts w:ascii="Bahnschrift" w:hAnsi="Bahnschrift"/>
        </w:rPr>
      </w:pPr>
    </w:p>
    <w:p w14:paraId="0F232CCF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10B52">
        <w:rPr>
          <w:rFonts w:ascii="Bahnschrift" w:hAnsi="Bahnschrift"/>
        </w:rPr>
        <w:t xml:space="preserve">Bates, A. W. (2019). </w:t>
      </w:r>
      <w:r w:rsidRPr="00710B52">
        <w:rPr>
          <w:rFonts w:ascii="Bahnschrift" w:hAnsi="Bahnschrift"/>
          <w:i/>
          <w:iCs/>
        </w:rPr>
        <w:t>Teaching in a digital age: Guidelines for designing teaching and learning</w:t>
      </w:r>
      <w:r w:rsidRPr="00710B52">
        <w:rPr>
          <w:rFonts w:ascii="Bahnschrift" w:hAnsi="Bahnschrift"/>
        </w:rPr>
        <w:t xml:space="preserve"> (2nd ed.). Tony Bates Associates.</w:t>
      </w:r>
    </w:p>
    <w:p w14:paraId="537AA769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2375596A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10B52">
        <w:rPr>
          <w:rFonts w:ascii="Bahnschrift" w:hAnsi="Bahnschrift"/>
        </w:rPr>
        <w:t xml:space="preserve">Canlas, R. B., </w:t>
      </w:r>
      <w:proofErr w:type="spellStart"/>
      <w:r w:rsidRPr="00710B52">
        <w:rPr>
          <w:rFonts w:ascii="Bahnschrift" w:hAnsi="Bahnschrift"/>
        </w:rPr>
        <w:t>Piad</w:t>
      </w:r>
      <w:proofErr w:type="spellEnd"/>
      <w:r w:rsidRPr="00710B52">
        <w:rPr>
          <w:rFonts w:ascii="Bahnschrift" w:hAnsi="Bahnschrift"/>
        </w:rPr>
        <w:t xml:space="preserve">, K. C., &amp; Lagman, A. C. (2021). An ISO/IEC 25010 based software quality assessment of a faculty research productivity monitoring and prediction system. In </w:t>
      </w:r>
      <w:r w:rsidRPr="00710B52">
        <w:rPr>
          <w:rFonts w:ascii="Bahnschrift" w:hAnsi="Bahnschrift"/>
          <w:i/>
          <w:iCs/>
        </w:rPr>
        <w:t>Proceedings of the 2021 9th International Conference on Information Technology: IoT and Smart City (ICIT 2021)</w:t>
      </w:r>
      <w:r w:rsidRPr="00710B52">
        <w:rPr>
          <w:rFonts w:ascii="Bahnschrift" w:hAnsi="Bahnschrift"/>
        </w:rPr>
        <w:t xml:space="preserve"> (pp. 1–8). ACM. </w:t>
      </w:r>
      <w:hyperlink r:id="rId7" w:history="1">
        <w:r w:rsidRPr="00710B52">
          <w:rPr>
            <w:rStyle w:val="Hyperlink"/>
            <w:rFonts w:ascii="Bahnschrift" w:hAnsi="Bahnschrift"/>
            <w:color w:val="auto"/>
            <w:u w:val="none"/>
          </w:rPr>
          <w:t>https://doi.org/10.1145/3512576.3512619</w:t>
        </w:r>
      </w:hyperlink>
    </w:p>
    <w:p w14:paraId="67F3EB0E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138D7718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10B52">
        <w:rPr>
          <w:rFonts w:ascii="Bahnschrift" w:hAnsi="Bahnschrift"/>
        </w:rPr>
        <w:t xml:space="preserve">Commission on Higher Education. (2020). </w:t>
      </w:r>
      <w:r w:rsidRPr="00710B52">
        <w:rPr>
          <w:rFonts w:ascii="Bahnschrift" w:hAnsi="Bahnschrift"/>
          <w:i/>
          <w:iCs/>
        </w:rPr>
        <w:t>CHED Memorandum Order No. 4, s. 2020: Guidelines on the implementation of flexible learning.</w:t>
      </w:r>
      <w:r w:rsidRPr="00710B52">
        <w:rPr>
          <w:rFonts w:ascii="Bahnschrift" w:hAnsi="Bahnschrift"/>
        </w:rPr>
        <w:t xml:space="preserve"> </w:t>
      </w:r>
      <w:hyperlink r:id="rId8" w:history="1">
        <w:r w:rsidRPr="00710B52">
          <w:rPr>
            <w:rStyle w:val="Hyperlink"/>
            <w:rFonts w:ascii="Bahnschrift" w:hAnsi="Bahnschrift"/>
            <w:color w:val="auto"/>
            <w:u w:val="none"/>
          </w:rPr>
          <w:t>https://ched.gov.ph/wp-content/uploads/CMO-No.-4-s.-2020-Guidelines-on-the-Implementation-of-Flexible-Learning.pdf</w:t>
        </w:r>
      </w:hyperlink>
    </w:p>
    <w:p w14:paraId="351E82A0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6E8602B9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10B52">
        <w:rPr>
          <w:rFonts w:ascii="Bahnschrift" w:hAnsi="Bahnschrift"/>
        </w:rPr>
        <w:t xml:space="preserve">Commission on Higher Education. (2022). </w:t>
      </w:r>
      <w:r w:rsidRPr="00710B52">
        <w:rPr>
          <w:rFonts w:ascii="Bahnschrift" w:hAnsi="Bahnschrift"/>
          <w:i/>
          <w:iCs/>
        </w:rPr>
        <w:t>CHED Memorandum Order No. 9, s. 2022: Updated guidelines on the implementation of face-to-face classes to prevent and mitigate COVID-19 infections in HEIs.</w:t>
      </w:r>
      <w:r w:rsidRPr="00710B52">
        <w:rPr>
          <w:rFonts w:ascii="Bahnschrift" w:hAnsi="Bahnschrift"/>
        </w:rPr>
        <w:t xml:space="preserve"> </w:t>
      </w:r>
      <w:hyperlink r:id="rId9" w:history="1">
        <w:r w:rsidRPr="00710B52">
          <w:rPr>
            <w:rStyle w:val="Hyperlink"/>
            <w:rFonts w:ascii="Bahnschrift" w:hAnsi="Bahnschrift"/>
            <w:color w:val="auto"/>
            <w:u w:val="none"/>
          </w:rPr>
          <w:t>https://ched.gov.ph/wp-content/uploads/CHED-Memorandum-Order-9-series-2022.pdf</w:t>
        </w:r>
      </w:hyperlink>
    </w:p>
    <w:p w14:paraId="262361CE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366BD335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10B52">
        <w:rPr>
          <w:rFonts w:ascii="Bahnschrift" w:hAnsi="Bahnschrift"/>
        </w:rPr>
        <w:t xml:space="preserve">Dron, J., &amp; Anderson, T. (2014). </w:t>
      </w:r>
      <w:r w:rsidRPr="00710B52">
        <w:rPr>
          <w:rFonts w:ascii="Bahnschrift" w:hAnsi="Bahnschrift"/>
          <w:i/>
          <w:iCs/>
        </w:rPr>
        <w:t>Teaching crowds: Learning and social media.</w:t>
      </w:r>
      <w:r w:rsidRPr="00710B52">
        <w:rPr>
          <w:rFonts w:ascii="Bahnschrift" w:hAnsi="Bahnschrift"/>
        </w:rPr>
        <w:t xml:space="preserve"> AU Press.</w:t>
      </w:r>
    </w:p>
    <w:p w14:paraId="61927B02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4B85E500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10B52">
        <w:rPr>
          <w:rFonts w:ascii="Bahnschrift" w:hAnsi="Bahnschrift"/>
        </w:rPr>
        <w:t xml:space="preserve">Hilton, J. (2016). Open educational resources and college textbook choices: A review of research on efficacy and perceptions. </w:t>
      </w:r>
      <w:r w:rsidRPr="00710B52">
        <w:rPr>
          <w:rFonts w:ascii="Bahnschrift" w:hAnsi="Bahnschrift"/>
          <w:i/>
          <w:iCs/>
        </w:rPr>
        <w:t>Educational Technology Research and Development, 64</w:t>
      </w:r>
      <w:r w:rsidRPr="00710B52">
        <w:rPr>
          <w:rFonts w:ascii="Bahnschrift" w:hAnsi="Bahnschrift"/>
        </w:rPr>
        <w:t>(4), 573–590. https://doi.org/10.1007/s11423-016-9434-9</w:t>
      </w:r>
    </w:p>
    <w:p w14:paraId="6AAF12B4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596D7E32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10B52">
        <w:rPr>
          <w:rFonts w:ascii="Bahnschrift" w:hAnsi="Bahnschrift"/>
        </w:rPr>
        <w:t xml:space="preserve">ISO/IEC. (2011). </w:t>
      </w:r>
      <w:r w:rsidRPr="00710B52">
        <w:rPr>
          <w:rFonts w:ascii="Bahnschrift" w:hAnsi="Bahnschrift"/>
          <w:i/>
          <w:iCs/>
        </w:rPr>
        <w:t>ISO/IEC 25010:2011 – Systems and software engineering – Systems and software quality requirements and evaluation (</w:t>
      </w:r>
      <w:proofErr w:type="spellStart"/>
      <w:r w:rsidRPr="00710B52">
        <w:rPr>
          <w:rFonts w:ascii="Bahnschrift" w:hAnsi="Bahnschrift"/>
          <w:i/>
          <w:iCs/>
        </w:rPr>
        <w:t>SQuaRE</w:t>
      </w:r>
      <w:proofErr w:type="spellEnd"/>
      <w:r w:rsidRPr="00710B52">
        <w:rPr>
          <w:rFonts w:ascii="Bahnschrift" w:hAnsi="Bahnschrift"/>
          <w:i/>
          <w:iCs/>
        </w:rPr>
        <w:t>) – System and software quality models.</w:t>
      </w:r>
      <w:r w:rsidRPr="00710B52">
        <w:rPr>
          <w:rFonts w:ascii="Bahnschrift" w:hAnsi="Bahnschrift"/>
        </w:rPr>
        <w:t xml:space="preserve"> International Organization for Standardization.</w:t>
      </w:r>
    </w:p>
    <w:p w14:paraId="588F3933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09924F18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10B52">
        <w:rPr>
          <w:rFonts w:ascii="Bahnschrift" w:hAnsi="Bahnschrift"/>
        </w:rPr>
        <w:t xml:space="preserve">Javier, B. S., </w:t>
      </w:r>
      <w:proofErr w:type="spellStart"/>
      <w:r w:rsidRPr="00710B52">
        <w:rPr>
          <w:rFonts w:ascii="Bahnschrift" w:hAnsi="Bahnschrift"/>
        </w:rPr>
        <w:t>Paliuanan</w:t>
      </w:r>
      <w:proofErr w:type="spellEnd"/>
      <w:r w:rsidRPr="00710B52">
        <w:rPr>
          <w:rFonts w:ascii="Bahnschrift" w:hAnsi="Bahnschrift"/>
        </w:rPr>
        <w:t xml:space="preserve">, L. P., </w:t>
      </w:r>
      <w:proofErr w:type="spellStart"/>
      <w:r w:rsidRPr="00710B52">
        <w:rPr>
          <w:rFonts w:ascii="Bahnschrift" w:hAnsi="Bahnschrift"/>
        </w:rPr>
        <w:t>Talamayan</w:t>
      </w:r>
      <w:proofErr w:type="spellEnd"/>
      <w:r w:rsidRPr="00710B52">
        <w:rPr>
          <w:rFonts w:ascii="Bahnschrift" w:hAnsi="Bahnschrift"/>
        </w:rPr>
        <w:t xml:space="preserve">, C. T., Agpalza, J. K. A., &amp; </w:t>
      </w:r>
      <w:proofErr w:type="spellStart"/>
      <w:r w:rsidRPr="00710B52">
        <w:rPr>
          <w:rFonts w:ascii="Bahnschrift" w:hAnsi="Bahnschrift"/>
        </w:rPr>
        <w:t>Agoto</w:t>
      </w:r>
      <w:proofErr w:type="spellEnd"/>
      <w:r w:rsidRPr="00710B52">
        <w:rPr>
          <w:rFonts w:ascii="Bahnschrift" w:hAnsi="Bahnschrift"/>
        </w:rPr>
        <w:t>, J. S. (2022). Development and evaluation of the institutionally farmed research on-line repository and management system (</w:t>
      </w:r>
      <w:proofErr w:type="spellStart"/>
      <w:r w:rsidRPr="00710B52">
        <w:rPr>
          <w:rFonts w:ascii="Bahnschrift" w:hAnsi="Bahnschrift"/>
        </w:rPr>
        <w:t>InFORMs</w:t>
      </w:r>
      <w:proofErr w:type="spellEnd"/>
      <w:r w:rsidRPr="00710B52">
        <w:rPr>
          <w:rFonts w:ascii="Bahnschrift" w:hAnsi="Bahnschrift"/>
        </w:rPr>
        <w:t xml:space="preserve">) towards knowledge-sharing and utilization. </w:t>
      </w:r>
      <w:r w:rsidRPr="00710B52">
        <w:rPr>
          <w:rFonts w:ascii="Bahnschrift" w:hAnsi="Bahnschrift"/>
          <w:i/>
          <w:iCs/>
        </w:rPr>
        <w:t>IJCSNS International Journal of Computer Science and Network Security, 22</w:t>
      </w:r>
      <w:r w:rsidRPr="00710B52">
        <w:rPr>
          <w:rFonts w:ascii="Bahnschrift" w:hAnsi="Bahnschrift"/>
        </w:rPr>
        <w:t>(5), 722–729.</w:t>
      </w:r>
    </w:p>
    <w:p w14:paraId="4CF0FEF8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54725339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  <w:proofErr w:type="spellStart"/>
      <w:r w:rsidRPr="00710B52">
        <w:rPr>
          <w:rFonts w:ascii="Bahnschrift" w:hAnsi="Bahnschrift"/>
        </w:rPr>
        <w:t>Laguador</w:t>
      </w:r>
      <w:proofErr w:type="spellEnd"/>
      <w:r w:rsidRPr="00710B52">
        <w:rPr>
          <w:rFonts w:ascii="Bahnschrift" w:hAnsi="Bahnschrift"/>
        </w:rPr>
        <w:t xml:space="preserve">, J. M., Tupaz, A., De Castro, E. L., &amp; </w:t>
      </w:r>
      <w:proofErr w:type="spellStart"/>
      <w:r w:rsidRPr="00710B52">
        <w:rPr>
          <w:rFonts w:ascii="Bahnschrift" w:hAnsi="Bahnschrift"/>
        </w:rPr>
        <w:t>Dotong</w:t>
      </w:r>
      <w:proofErr w:type="spellEnd"/>
      <w:r w:rsidRPr="00710B52">
        <w:rPr>
          <w:rFonts w:ascii="Bahnschrift" w:hAnsi="Bahnschrift"/>
        </w:rPr>
        <w:t xml:space="preserve">, C. I. (2016). Development and evaluation of an institutional research repository using content management system. </w:t>
      </w:r>
      <w:r w:rsidRPr="00710B52">
        <w:rPr>
          <w:rFonts w:ascii="Bahnschrift" w:hAnsi="Bahnschrift"/>
          <w:i/>
          <w:iCs/>
        </w:rPr>
        <w:t>International Journal of Applied Engineering Research, 11</w:t>
      </w:r>
      <w:r w:rsidRPr="00710B52">
        <w:rPr>
          <w:rFonts w:ascii="Bahnschrift" w:hAnsi="Bahnschrift"/>
        </w:rPr>
        <w:t>(6), 4017–4023.</w:t>
      </w:r>
    </w:p>
    <w:p w14:paraId="40EF9776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429256F8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10B52">
        <w:rPr>
          <w:rFonts w:ascii="Bahnschrift" w:hAnsi="Bahnschrift"/>
        </w:rPr>
        <w:t xml:space="preserve">McGreal, R. (2017). Special report on the role of open educational resources in supporting the sustainable development goal 4: Quality education challenges and opportunities. </w:t>
      </w:r>
      <w:r w:rsidRPr="00710B52">
        <w:rPr>
          <w:rFonts w:ascii="Bahnschrift" w:hAnsi="Bahnschrift"/>
          <w:i/>
          <w:iCs/>
        </w:rPr>
        <w:t>International Review of Research in Open and Distributed Learning, 18</w:t>
      </w:r>
      <w:r w:rsidRPr="00710B52">
        <w:rPr>
          <w:rFonts w:ascii="Bahnschrift" w:hAnsi="Bahnschrift"/>
        </w:rPr>
        <w:t>(7).</w:t>
      </w:r>
    </w:p>
    <w:p w14:paraId="031F3E6A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60AA2593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10B52">
        <w:rPr>
          <w:rFonts w:ascii="Bahnschrift" w:hAnsi="Bahnschrift"/>
        </w:rPr>
        <w:t xml:space="preserve">Nielsen, J. (2012). </w:t>
      </w:r>
      <w:r w:rsidRPr="00710B52">
        <w:rPr>
          <w:rFonts w:ascii="Bahnschrift" w:hAnsi="Bahnschrift"/>
          <w:i/>
          <w:iCs/>
        </w:rPr>
        <w:t>Usability 101: Introduction to usability.</w:t>
      </w:r>
      <w:r w:rsidRPr="00710B52">
        <w:rPr>
          <w:rFonts w:ascii="Bahnschrift" w:hAnsi="Bahnschrift"/>
        </w:rPr>
        <w:t xml:space="preserve"> Nielsen Norman Group. </w:t>
      </w:r>
      <w:hyperlink r:id="rId10" w:history="1">
        <w:r w:rsidRPr="00710B52">
          <w:rPr>
            <w:rStyle w:val="Hyperlink"/>
            <w:rFonts w:ascii="Bahnschrift" w:hAnsi="Bahnschrift"/>
            <w:color w:val="auto"/>
            <w:u w:val="none"/>
          </w:rPr>
          <w:t>https://www.nngroup.com/articles/usability-101-introduction-to-usability/</w:t>
        </w:r>
      </w:hyperlink>
    </w:p>
    <w:p w14:paraId="7A7053AA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42469ABE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10B52">
        <w:rPr>
          <w:rFonts w:ascii="Bahnschrift" w:hAnsi="Bahnschrift"/>
        </w:rPr>
        <w:lastRenderedPageBreak/>
        <w:t xml:space="preserve">Palmer, C. L., </w:t>
      </w:r>
      <w:proofErr w:type="spellStart"/>
      <w:r w:rsidRPr="00710B52">
        <w:rPr>
          <w:rFonts w:ascii="Bahnschrift" w:hAnsi="Bahnschrift"/>
        </w:rPr>
        <w:t>Teffeau</w:t>
      </w:r>
      <w:proofErr w:type="spellEnd"/>
      <w:r w:rsidRPr="00710B52">
        <w:rPr>
          <w:rFonts w:ascii="Bahnschrift" w:hAnsi="Bahnschrift"/>
        </w:rPr>
        <w:t xml:space="preserve">, L. C., &amp; Newton, M. P. (2008). Strategies for institutional repository development: A case study of three evolving initiatives. </w:t>
      </w:r>
      <w:r w:rsidRPr="00710B52">
        <w:rPr>
          <w:rFonts w:ascii="Bahnschrift" w:hAnsi="Bahnschrift"/>
          <w:i/>
          <w:iCs/>
        </w:rPr>
        <w:t>Library Trends, 57</w:t>
      </w:r>
      <w:r w:rsidRPr="00710B52">
        <w:rPr>
          <w:rFonts w:ascii="Bahnschrift" w:hAnsi="Bahnschrift"/>
        </w:rPr>
        <w:t>(2), 142–167. https://doi.org/10.1353/lib.0.0030</w:t>
      </w:r>
    </w:p>
    <w:p w14:paraId="29AB39C6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28D43719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10B52">
        <w:rPr>
          <w:rFonts w:ascii="Bahnschrift" w:hAnsi="Bahnschrift"/>
        </w:rPr>
        <w:t xml:space="preserve">Polytechnic University of the Philippines. (2020). </w:t>
      </w:r>
      <w:r w:rsidRPr="00710B52">
        <w:rPr>
          <w:rFonts w:ascii="Bahnschrift" w:hAnsi="Bahnschrift"/>
          <w:i/>
          <w:iCs/>
        </w:rPr>
        <w:t>Memorandum No. 28, s. 2020: Preparation and submission of instructional materials in response to remote teaching requirements</w:t>
      </w:r>
      <w:r w:rsidRPr="00710B52">
        <w:rPr>
          <w:rFonts w:ascii="Bahnschrift" w:hAnsi="Bahnschrift"/>
        </w:rPr>
        <w:t xml:space="preserve"> [Internal memorandum]. PUP Manila Campus.</w:t>
      </w:r>
    </w:p>
    <w:p w14:paraId="49D326CF" w14:textId="77777777" w:rsidR="009C51F1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70528F93" w14:textId="4CADFD1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  <w:proofErr w:type="spellStart"/>
      <w:r w:rsidRPr="00710B52">
        <w:rPr>
          <w:rFonts w:ascii="Bahnschrift" w:hAnsi="Bahnschrift"/>
        </w:rPr>
        <w:t>Popenici</w:t>
      </w:r>
      <w:proofErr w:type="spellEnd"/>
      <w:r w:rsidRPr="00710B52">
        <w:rPr>
          <w:rFonts w:ascii="Bahnschrift" w:hAnsi="Bahnschrift"/>
        </w:rPr>
        <w:t xml:space="preserve">, S., &amp; Kerr, S. (2017). Exploring the impact of artificial intelligence on teaching and learning in higher education. </w:t>
      </w:r>
      <w:r w:rsidRPr="00710B52">
        <w:rPr>
          <w:rFonts w:ascii="Bahnschrift" w:hAnsi="Bahnschrift"/>
          <w:i/>
          <w:iCs/>
        </w:rPr>
        <w:t>Research and Practice in Technology Enhanced Learning, 12</w:t>
      </w:r>
      <w:r w:rsidRPr="00710B52">
        <w:rPr>
          <w:rFonts w:ascii="Bahnschrift" w:hAnsi="Bahnschrift"/>
        </w:rPr>
        <w:t>(1), 1–13.</w:t>
      </w:r>
    </w:p>
    <w:p w14:paraId="2A5ADDE9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7AFFEF82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10B52">
        <w:rPr>
          <w:rFonts w:ascii="Bahnschrift" w:hAnsi="Bahnschrift"/>
        </w:rPr>
        <w:t xml:space="preserve">Richey, R. C., &amp; Klein, J. D. (2007). </w:t>
      </w:r>
      <w:r w:rsidRPr="00710B52">
        <w:rPr>
          <w:rFonts w:ascii="Bahnschrift" w:hAnsi="Bahnschrift"/>
          <w:i/>
          <w:iCs/>
        </w:rPr>
        <w:t>Design and development research: Methods, strategies, and issues.</w:t>
      </w:r>
      <w:r w:rsidRPr="00710B52">
        <w:rPr>
          <w:rFonts w:ascii="Bahnschrift" w:hAnsi="Bahnschrift"/>
        </w:rPr>
        <w:t xml:space="preserve"> Mahwah, NJ: Lawrence Erlbaum Associates. https://doi.org/10.4324/9780203826034</w:t>
      </w:r>
    </w:p>
    <w:p w14:paraId="47945373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20523B1F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10B52">
        <w:rPr>
          <w:rFonts w:ascii="Bahnschrift" w:hAnsi="Bahnschrift"/>
        </w:rPr>
        <w:t xml:space="preserve">Scherer, R., Siddiq, F., &amp; </w:t>
      </w:r>
      <w:proofErr w:type="spellStart"/>
      <w:r w:rsidRPr="00710B52">
        <w:rPr>
          <w:rFonts w:ascii="Bahnschrift" w:hAnsi="Bahnschrift"/>
        </w:rPr>
        <w:t>Tondeur</w:t>
      </w:r>
      <w:proofErr w:type="spellEnd"/>
      <w:r w:rsidRPr="00710B52">
        <w:rPr>
          <w:rFonts w:ascii="Bahnschrift" w:hAnsi="Bahnschrift"/>
        </w:rPr>
        <w:t xml:space="preserve">, J. (2019). The technology acceptance model (TAM): A meta-analytic structural equation modeling approach to explaining teachers' adoption of digital technology in education. </w:t>
      </w:r>
      <w:r w:rsidRPr="00710B52">
        <w:rPr>
          <w:rFonts w:ascii="Bahnschrift" w:hAnsi="Bahnschrift"/>
          <w:i/>
          <w:iCs/>
        </w:rPr>
        <w:t>Computers &amp; Education, 128</w:t>
      </w:r>
      <w:r w:rsidRPr="00710B52">
        <w:rPr>
          <w:rFonts w:ascii="Bahnschrift" w:hAnsi="Bahnschrift"/>
        </w:rPr>
        <w:t>, 13–35. https://doi.org/10.1016/j.compedu.2018.09.009</w:t>
      </w:r>
    </w:p>
    <w:p w14:paraId="0DB2CDA9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1F88851E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10B52">
        <w:rPr>
          <w:rFonts w:ascii="Bahnschrift" w:hAnsi="Bahnschrift"/>
        </w:rPr>
        <w:t xml:space="preserve">Selwyn, N. (2016). </w:t>
      </w:r>
      <w:r w:rsidRPr="00710B52">
        <w:rPr>
          <w:rFonts w:ascii="Bahnschrift" w:hAnsi="Bahnschrift"/>
          <w:i/>
          <w:iCs/>
        </w:rPr>
        <w:t>Education and technology: Key issues and debates</w:t>
      </w:r>
      <w:r w:rsidRPr="00710B52">
        <w:rPr>
          <w:rFonts w:ascii="Bahnschrift" w:hAnsi="Bahnschrift"/>
        </w:rPr>
        <w:t xml:space="preserve"> (2nd ed.). Bloomsbury Academic.</w:t>
      </w:r>
    </w:p>
    <w:p w14:paraId="536796A1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480A8A4F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10B52">
        <w:rPr>
          <w:rFonts w:ascii="Bahnschrift" w:hAnsi="Bahnschrift"/>
        </w:rPr>
        <w:t xml:space="preserve">Trist, E. L., &amp; Bamforth, K. W. (1951). Some social and psychological consequences of the longwall method of coal-getting. </w:t>
      </w:r>
      <w:r w:rsidRPr="00710B52">
        <w:rPr>
          <w:rFonts w:ascii="Bahnschrift" w:hAnsi="Bahnschrift"/>
          <w:i/>
          <w:iCs/>
        </w:rPr>
        <w:t>Human Relations, 4</w:t>
      </w:r>
      <w:r w:rsidRPr="00710B52">
        <w:rPr>
          <w:rFonts w:ascii="Bahnschrift" w:hAnsi="Bahnschrift"/>
        </w:rPr>
        <w:t>(1), 3–38. https://doi.org/10.1177/001872675100400101</w:t>
      </w:r>
    </w:p>
    <w:p w14:paraId="5768E126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</w:p>
    <w:p w14:paraId="6D925095" w14:textId="77777777" w:rsidR="009C51F1" w:rsidRPr="00710B52" w:rsidRDefault="009C51F1" w:rsidP="009C51F1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 w:rsidRPr="00710B52">
        <w:rPr>
          <w:rFonts w:ascii="Bahnschrift" w:hAnsi="Bahnschrift"/>
        </w:rPr>
        <w:t xml:space="preserve">Zaharias, P., &amp; </w:t>
      </w:r>
      <w:proofErr w:type="spellStart"/>
      <w:r w:rsidRPr="00710B52">
        <w:rPr>
          <w:rFonts w:ascii="Bahnschrift" w:hAnsi="Bahnschrift"/>
        </w:rPr>
        <w:t>Poylymenakou</w:t>
      </w:r>
      <w:proofErr w:type="spellEnd"/>
      <w:r w:rsidRPr="00710B52">
        <w:rPr>
          <w:rFonts w:ascii="Bahnschrift" w:hAnsi="Bahnschrift"/>
        </w:rPr>
        <w:t xml:space="preserve">, A. (2009). Developing a usability evaluation method for e-learning applications: Beyond functional usability. </w:t>
      </w:r>
      <w:r w:rsidRPr="00710B52">
        <w:rPr>
          <w:rFonts w:ascii="Bahnschrift" w:hAnsi="Bahnschrift"/>
          <w:i/>
          <w:iCs/>
        </w:rPr>
        <w:t>International Journal of Human-Computer Interaction, 25</w:t>
      </w:r>
      <w:r w:rsidRPr="00710B52">
        <w:rPr>
          <w:rFonts w:ascii="Bahnschrift" w:hAnsi="Bahnschrift"/>
        </w:rPr>
        <w:t>(1), 75–98. https://doi.org/10.1080/10447310802546716</w:t>
      </w:r>
    </w:p>
    <w:p w14:paraId="7F55EAF9" w14:textId="48D43A5C" w:rsidR="00671F20" w:rsidRPr="009C51F1" w:rsidRDefault="00671F20" w:rsidP="009C51F1"/>
    <w:sectPr w:rsidR="00671F20" w:rsidRPr="009C51F1" w:rsidSect="00AE2C6C">
      <w:headerReference w:type="default" r:id="rId11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59F7B" w14:textId="77777777" w:rsidR="00600AE7" w:rsidRDefault="00600AE7" w:rsidP="00290EE2">
      <w:pPr>
        <w:spacing w:after="0" w:line="240" w:lineRule="auto"/>
      </w:pPr>
      <w:r>
        <w:separator/>
      </w:r>
    </w:p>
  </w:endnote>
  <w:endnote w:type="continuationSeparator" w:id="0">
    <w:p w14:paraId="2C412BE0" w14:textId="77777777" w:rsidR="00600AE7" w:rsidRDefault="00600AE7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555FD" w14:textId="77777777" w:rsidR="00600AE7" w:rsidRDefault="00600AE7" w:rsidP="00290EE2">
      <w:pPr>
        <w:spacing w:after="0" w:line="240" w:lineRule="auto"/>
      </w:pPr>
      <w:r>
        <w:separator/>
      </w:r>
    </w:p>
  </w:footnote>
  <w:footnote w:type="continuationSeparator" w:id="0">
    <w:p w14:paraId="2F0931D6" w14:textId="77777777" w:rsidR="00600AE7" w:rsidRDefault="00600AE7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4F4311"/>
    <w:multiLevelType w:val="multilevel"/>
    <w:tmpl w:val="518CC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9"/>
  </w:num>
  <w:num w:numId="4" w16cid:durableId="2116243982">
    <w:abstractNumId w:val="35"/>
  </w:num>
  <w:num w:numId="5" w16cid:durableId="1848906244">
    <w:abstractNumId w:val="15"/>
  </w:num>
  <w:num w:numId="6" w16cid:durableId="1097823186">
    <w:abstractNumId w:val="32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9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1"/>
  </w:num>
  <w:num w:numId="14" w16cid:durableId="1610159056">
    <w:abstractNumId w:val="28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40"/>
  </w:num>
  <w:num w:numId="18" w16cid:durableId="1050766509">
    <w:abstractNumId w:val="5"/>
  </w:num>
  <w:num w:numId="19" w16cid:durableId="2067869038">
    <w:abstractNumId w:val="38"/>
  </w:num>
  <w:num w:numId="20" w16cid:durableId="926382073">
    <w:abstractNumId w:val="33"/>
  </w:num>
  <w:num w:numId="21" w16cid:durableId="175774230">
    <w:abstractNumId w:val="30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7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6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4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  <w:num w:numId="41" w16cid:durableId="157033967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845F5"/>
    <w:rsid w:val="000854B9"/>
    <w:rsid w:val="00085B6A"/>
    <w:rsid w:val="000905B2"/>
    <w:rsid w:val="000C2E76"/>
    <w:rsid w:val="000D0E69"/>
    <w:rsid w:val="000F5057"/>
    <w:rsid w:val="001957A8"/>
    <w:rsid w:val="001F1FD0"/>
    <w:rsid w:val="001F54EA"/>
    <w:rsid w:val="001F5BD9"/>
    <w:rsid w:val="00211740"/>
    <w:rsid w:val="002171B2"/>
    <w:rsid w:val="00222ABA"/>
    <w:rsid w:val="00233803"/>
    <w:rsid w:val="00246867"/>
    <w:rsid w:val="00290EE2"/>
    <w:rsid w:val="00297A83"/>
    <w:rsid w:val="002A0ACD"/>
    <w:rsid w:val="002C07E5"/>
    <w:rsid w:val="002D0592"/>
    <w:rsid w:val="002D3698"/>
    <w:rsid w:val="002E59CC"/>
    <w:rsid w:val="00330B9D"/>
    <w:rsid w:val="00330D2C"/>
    <w:rsid w:val="00370561"/>
    <w:rsid w:val="00372956"/>
    <w:rsid w:val="003970FD"/>
    <w:rsid w:val="003C0253"/>
    <w:rsid w:val="003C1C37"/>
    <w:rsid w:val="0044264E"/>
    <w:rsid w:val="00451A1D"/>
    <w:rsid w:val="004662CE"/>
    <w:rsid w:val="00485B27"/>
    <w:rsid w:val="00487414"/>
    <w:rsid w:val="004B00A8"/>
    <w:rsid w:val="004C6BEA"/>
    <w:rsid w:val="00502558"/>
    <w:rsid w:val="00513D4A"/>
    <w:rsid w:val="00533882"/>
    <w:rsid w:val="00535BAD"/>
    <w:rsid w:val="00555061"/>
    <w:rsid w:val="005611F8"/>
    <w:rsid w:val="00567107"/>
    <w:rsid w:val="005B5DD9"/>
    <w:rsid w:val="005B666E"/>
    <w:rsid w:val="005C1604"/>
    <w:rsid w:val="005D4E9F"/>
    <w:rsid w:val="005E50C0"/>
    <w:rsid w:val="00600AE7"/>
    <w:rsid w:val="00603552"/>
    <w:rsid w:val="00607AB1"/>
    <w:rsid w:val="00623E52"/>
    <w:rsid w:val="00623E9B"/>
    <w:rsid w:val="00640E62"/>
    <w:rsid w:val="0064183D"/>
    <w:rsid w:val="00645E4B"/>
    <w:rsid w:val="00657F10"/>
    <w:rsid w:val="00661919"/>
    <w:rsid w:val="00671F20"/>
    <w:rsid w:val="0068556F"/>
    <w:rsid w:val="00691497"/>
    <w:rsid w:val="006B1674"/>
    <w:rsid w:val="006B59D7"/>
    <w:rsid w:val="006F7E14"/>
    <w:rsid w:val="007257B4"/>
    <w:rsid w:val="00755F49"/>
    <w:rsid w:val="0076121C"/>
    <w:rsid w:val="00766FAB"/>
    <w:rsid w:val="00772C0C"/>
    <w:rsid w:val="007A198A"/>
    <w:rsid w:val="007A4C79"/>
    <w:rsid w:val="007B5400"/>
    <w:rsid w:val="007C515B"/>
    <w:rsid w:val="007E1A12"/>
    <w:rsid w:val="00805115"/>
    <w:rsid w:val="00805D1B"/>
    <w:rsid w:val="00814436"/>
    <w:rsid w:val="00836DAB"/>
    <w:rsid w:val="00847EF6"/>
    <w:rsid w:val="00866E71"/>
    <w:rsid w:val="008753FF"/>
    <w:rsid w:val="008A200E"/>
    <w:rsid w:val="008B0FD5"/>
    <w:rsid w:val="008E0D92"/>
    <w:rsid w:val="008E42EE"/>
    <w:rsid w:val="008F2867"/>
    <w:rsid w:val="00904FD2"/>
    <w:rsid w:val="009251D0"/>
    <w:rsid w:val="009500D8"/>
    <w:rsid w:val="009518D7"/>
    <w:rsid w:val="0095365A"/>
    <w:rsid w:val="0095714A"/>
    <w:rsid w:val="00991E5A"/>
    <w:rsid w:val="009C0634"/>
    <w:rsid w:val="009C51F1"/>
    <w:rsid w:val="00A21F23"/>
    <w:rsid w:val="00A44CF0"/>
    <w:rsid w:val="00A50563"/>
    <w:rsid w:val="00A55C89"/>
    <w:rsid w:val="00A819D9"/>
    <w:rsid w:val="00A84EFD"/>
    <w:rsid w:val="00A949FE"/>
    <w:rsid w:val="00A94BB2"/>
    <w:rsid w:val="00AB2C26"/>
    <w:rsid w:val="00AD4157"/>
    <w:rsid w:val="00AE2C6C"/>
    <w:rsid w:val="00AE71DE"/>
    <w:rsid w:val="00AE75F0"/>
    <w:rsid w:val="00B3100F"/>
    <w:rsid w:val="00B52DD2"/>
    <w:rsid w:val="00BC682E"/>
    <w:rsid w:val="00BD249A"/>
    <w:rsid w:val="00C10275"/>
    <w:rsid w:val="00C1121B"/>
    <w:rsid w:val="00C17E96"/>
    <w:rsid w:val="00C27D2D"/>
    <w:rsid w:val="00C31B93"/>
    <w:rsid w:val="00C4676A"/>
    <w:rsid w:val="00C80E04"/>
    <w:rsid w:val="00C833B7"/>
    <w:rsid w:val="00D33289"/>
    <w:rsid w:val="00D50816"/>
    <w:rsid w:val="00D56D5A"/>
    <w:rsid w:val="00D64BB9"/>
    <w:rsid w:val="00D70538"/>
    <w:rsid w:val="00D801F1"/>
    <w:rsid w:val="00D80679"/>
    <w:rsid w:val="00D86FE1"/>
    <w:rsid w:val="00DC7E96"/>
    <w:rsid w:val="00DD52A7"/>
    <w:rsid w:val="00E00198"/>
    <w:rsid w:val="00E02438"/>
    <w:rsid w:val="00E1410E"/>
    <w:rsid w:val="00E4300D"/>
    <w:rsid w:val="00E441AA"/>
    <w:rsid w:val="00E5333A"/>
    <w:rsid w:val="00E5452F"/>
    <w:rsid w:val="00E84A47"/>
    <w:rsid w:val="00E862AC"/>
    <w:rsid w:val="00EA227F"/>
    <w:rsid w:val="00EB128D"/>
    <w:rsid w:val="00EC441F"/>
    <w:rsid w:val="00EC4E5D"/>
    <w:rsid w:val="00EE5033"/>
    <w:rsid w:val="00EF0898"/>
    <w:rsid w:val="00F15E24"/>
    <w:rsid w:val="00F335F1"/>
    <w:rsid w:val="00F34DCD"/>
    <w:rsid w:val="00F84A20"/>
    <w:rsid w:val="00F944CA"/>
    <w:rsid w:val="00FC4AA6"/>
    <w:rsid w:val="00FC6E98"/>
    <w:rsid w:val="00FE2FD1"/>
    <w:rsid w:val="00FE4A12"/>
    <w:rsid w:val="00FE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7E5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sid w:val="002338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ed.gov.ph/wp-content/uploads/CMO-No.-4-s.-2020-Guidelines-on-the-Implementation-of-Flexible-Learning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1145/3512576.351261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nngroup.com/articles/usability-101-introduction-to-usabilit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hed.gov.ph/wp-content/uploads/CHED-Memorandum-Order-9-series-2022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victorcajala@outlook.com</cp:lastModifiedBy>
  <cp:revision>56</cp:revision>
  <cp:lastPrinted>2026-02-21T05:03:00Z</cp:lastPrinted>
  <dcterms:created xsi:type="dcterms:W3CDTF">2025-12-03T11:08:00Z</dcterms:created>
  <dcterms:modified xsi:type="dcterms:W3CDTF">2026-09-17T11:36:00Z</dcterms:modified>
</cp:coreProperties>
</file>