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9EF5C" w14:textId="77777777" w:rsidR="00374D9B" w:rsidRDefault="00374D9B" w:rsidP="00374D9B">
      <w:pPr>
        <w:suppressLineNumbers/>
        <w:spacing w:after="0" w:line="240" w:lineRule="auto"/>
        <w:jc w:val="both"/>
        <w:rPr>
          <w:rFonts w:ascii="Arial Rounded MT Bold" w:hAnsi="Arial Rounded MT Bold"/>
          <w:b/>
          <w:bCs/>
        </w:rPr>
      </w:pPr>
      <w:r>
        <w:rPr>
          <w:rFonts w:ascii="Arial Rounded MT Bold" w:hAnsi="Arial Rounded MT Bold"/>
          <w:b/>
          <w:bCs/>
        </w:rPr>
        <w:t xml:space="preserve">REFERENCES </w:t>
      </w:r>
    </w:p>
    <w:p w14:paraId="42B05957" w14:textId="77777777" w:rsidR="00374D9B" w:rsidRDefault="00374D9B" w:rsidP="00374D9B">
      <w:pPr>
        <w:suppressLineNumbers/>
        <w:spacing w:after="0" w:line="240" w:lineRule="auto"/>
        <w:jc w:val="both"/>
        <w:rPr>
          <w:rFonts w:ascii="Bahnschrift" w:hAnsi="Bahnschrift"/>
        </w:rPr>
      </w:pPr>
    </w:p>
    <w:p w14:paraId="02602BF0" w14:textId="77777777" w:rsidR="00374D9B" w:rsidRPr="003C35F0" w:rsidRDefault="00374D9B" w:rsidP="00374D9B">
      <w:pPr>
        <w:spacing w:after="0" w:line="240" w:lineRule="auto"/>
        <w:ind w:left="720" w:hanging="720"/>
        <w:jc w:val="both"/>
        <w:rPr>
          <w:rFonts w:ascii="Bahnschrift" w:eastAsia="Times New Roman" w:hAnsi="Bahnschrift" w:cs="Times New Roman"/>
        </w:rPr>
      </w:pPr>
      <w:r w:rsidRPr="003C35F0">
        <w:rPr>
          <w:rFonts w:ascii="Bahnschrift" w:eastAsia="Times New Roman" w:hAnsi="Bahnschrift" w:cs="Times New Roman"/>
        </w:rPr>
        <w:t xml:space="preserve">Balderama, R. M. (2019). Capacity building of school personnel in promoting mental health among learners. </w:t>
      </w:r>
      <w:r w:rsidRPr="003C35F0">
        <w:rPr>
          <w:rFonts w:ascii="Bahnschrift" w:eastAsia="Times New Roman" w:hAnsi="Bahnschrift" w:cs="Times New Roman"/>
          <w:i/>
          <w:iCs/>
        </w:rPr>
        <w:t>Philippine Journal of Education, 96</w:t>
      </w:r>
      <w:r w:rsidRPr="003C35F0">
        <w:rPr>
          <w:rFonts w:ascii="Bahnschrift" w:eastAsia="Times New Roman" w:hAnsi="Bahnschrift" w:cs="Times New Roman"/>
        </w:rPr>
        <w:t>(3), 45–52.</w:t>
      </w:r>
    </w:p>
    <w:p w14:paraId="3E8234AF" w14:textId="77777777" w:rsidR="00374D9B" w:rsidRPr="003C35F0" w:rsidRDefault="00374D9B" w:rsidP="00374D9B">
      <w:pPr>
        <w:spacing w:after="0" w:line="240" w:lineRule="auto"/>
        <w:ind w:left="720" w:hanging="720"/>
        <w:jc w:val="both"/>
        <w:rPr>
          <w:rFonts w:ascii="Bahnschrift" w:eastAsia="Times New Roman" w:hAnsi="Bahnschrift" w:cs="Times New Roman"/>
        </w:rPr>
      </w:pPr>
    </w:p>
    <w:p w14:paraId="242BF4A5" w14:textId="77777777" w:rsidR="00374D9B" w:rsidRPr="003C35F0" w:rsidRDefault="00374D9B" w:rsidP="00374D9B">
      <w:pPr>
        <w:spacing w:after="0" w:line="240" w:lineRule="auto"/>
        <w:ind w:left="720" w:hanging="720"/>
        <w:jc w:val="both"/>
        <w:rPr>
          <w:rFonts w:ascii="Bahnschrift" w:eastAsia="Times New Roman" w:hAnsi="Bahnschrift" w:cs="Times New Roman"/>
        </w:rPr>
      </w:pPr>
      <w:r w:rsidRPr="003C35F0">
        <w:rPr>
          <w:rFonts w:ascii="Bahnschrift" w:eastAsia="Times New Roman" w:hAnsi="Bahnschrift" w:cs="Times New Roman"/>
        </w:rPr>
        <w:t xml:space="preserve">Braun, V., &amp; Clarke, V. (2006). Using thematic analysis in psychology. </w:t>
      </w:r>
      <w:r w:rsidRPr="003C35F0">
        <w:rPr>
          <w:rFonts w:ascii="Bahnschrift" w:eastAsia="Times New Roman" w:hAnsi="Bahnschrift" w:cs="Times New Roman"/>
          <w:i/>
          <w:iCs/>
        </w:rPr>
        <w:t>Qualitative Research in Psychology, 3</w:t>
      </w:r>
      <w:r w:rsidRPr="003C35F0">
        <w:rPr>
          <w:rFonts w:ascii="Bahnschrift" w:eastAsia="Times New Roman" w:hAnsi="Bahnschrift" w:cs="Times New Roman"/>
        </w:rPr>
        <w:t>(2), 77–101. https://doi.org/10.1191/1478088706qp063oa</w:t>
      </w:r>
    </w:p>
    <w:p w14:paraId="45552AF8" w14:textId="77777777" w:rsidR="00374D9B" w:rsidRPr="003C35F0" w:rsidRDefault="00374D9B" w:rsidP="00374D9B">
      <w:pPr>
        <w:spacing w:after="0" w:line="240" w:lineRule="auto"/>
        <w:ind w:left="720" w:hanging="720"/>
        <w:jc w:val="both"/>
        <w:rPr>
          <w:rFonts w:ascii="Bahnschrift" w:eastAsia="Times New Roman" w:hAnsi="Bahnschrift" w:cs="Times New Roman"/>
        </w:rPr>
      </w:pPr>
    </w:p>
    <w:p w14:paraId="6F5E3B71" w14:textId="77777777" w:rsidR="00374D9B" w:rsidRPr="003C35F0" w:rsidRDefault="00374D9B" w:rsidP="00374D9B">
      <w:pPr>
        <w:spacing w:after="0" w:line="240" w:lineRule="auto"/>
        <w:ind w:left="720" w:hanging="720"/>
        <w:jc w:val="both"/>
        <w:rPr>
          <w:rFonts w:ascii="Bahnschrift" w:eastAsia="Times New Roman" w:hAnsi="Bahnschrift" w:cs="Times New Roman"/>
        </w:rPr>
      </w:pPr>
      <w:r w:rsidRPr="003C35F0">
        <w:rPr>
          <w:rFonts w:ascii="Bahnschrift" w:eastAsia="Times New Roman" w:hAnsi="Bahnschrift" w:cs="Times New Roman"/>
        </w:rPr>
        <w:t xml:space="preserve">Creswell, J. W. (2013). </w:t>
      </w:r>
      <w:r w:rsidRPr="003C35F0">
        <w:rPr>
          <w:rFonts w:ascii="Bahnschrift" w:eastAsia="Times New Roman" w:hAnsi="Bahnschrift" w:cs="Times New Roman"/>
          <w:i/>
          <w:iCs/>
        </w:rPr>
        <w:t>Qualitative inquiry and research design: Choosing among five approaches</w:t>
      </w:r>
      <w:r w:rsidRPr="003C35F0">
        <w:rPr>
          <w:rFonts w:ascii="Bahnschrift" w:eastAsia="Times New Roman" w:hAnsi="Bahnschrift" w:cs="Times New Roman"/>
        </w:rPr>
        <w:t xml:space="preserve"> (3rd ed.). SAGE Publications.</w:t>
      </w:r>
    </w:p>
    <w:p w14:paraId="0D1B459B" w14:textId="77777777" w:rsidR="00374D9B" w:rsidRPr="003C35F0" w:rsidRDefault="00374D9B" w:rsidP="00374D9B">
      <w:pPr>
        <w:spacing w:after="0" w:line="240" w:lineRule="auto"/>
        <w:ind w:left="720" w:hanging="720"/>
        <w:jc w:val="both"/>
        <w:rPr>
          <w:rFonts w:ascii="Bahnschrift" w:eastAsia="Times New Roman" w:hAnsi="Bahnschrift" w:cs="Times New Roman"/>
        </w:rPr>
      </w:pPr>
    </w:p>
    <w:p w14:paraId="6A49FFFB" w14:textId="77777777" w:rsidR="00374D9B" w:rsidRPr="003C35F0" w:rsidRDefault="00374D9B" w:rsidP="00374D9B">
      <w:pPr>
        <w:spacing w:after="0" w:line="240" w:lineRule="auto"/>
        <w:ind w:left="720" w:hanging="720"/>
        <w:jc w:val="both"/>
        <w:rPr>
          <w:rFonts w:ascii="Bahnschrift" w:eastAsia="Times New Roman" w:hAnsi="Bahnschrift" w:cs="Times New Roman"/>
        </w:rPr>
      </w:pPr>
      <w:r w:rsidRPr="003C35F0">
        <w:rPr>
          <w:rFonts w:ascii="Bahnschrift" w:eastAsia="Times New Roman" w:hAnsi="Bahnschrift" w:cs="Times New Roman"/>
        </w:rPr>
        <w:t xml:space="preserve">Deacon, B. J. (2015). The biomedical model of mental disorder: A critical analysis of its validity, utility, and effects on psychotherapy research. </w:t>
      </w:r>
      <w:r w:rsidRPr="003C35F0">
        <w:rPr>
          <w:rFonts w:ascii="Bahnschrift" w:eastAsia="Times New Roman" w:hAnsi="Bahnschrift" w:cs="Times New Roman"/>
          <w:i/>
          <w:iCs/>
        </w:rPr>
        <w:t>Clinical Psychology Review, 33</w:t>
      </w:r>
      <w:r w:rsidRPr="003C35F0">
        <w:rPr>
          <w:rFonts w:ascii="Bahnschrift" w:eastAsia="Times New Roman" w:hAnsi="Bahnschrift" w:cs="Times New Roman"/>
        </w:rPr>
        <w:t>(7), 846–861. https://doi.org/10.1016/j.cpr.2012.09.007</w:t>
      </w:r>
    </w:p>
    <w:p w14:paraId="33EE34A0" w14:textId="77777777" w:rsidR="00374D9B" w:rsidRPr="003C35F0" w:rsidRDefault="00374D9B" w:rsidP="00374D9B">
      <w:pPr>
        <w:spacing w:after="0" w:line="240" w:lineRule="auto"/>
        <w:ind w:left="720" w:hanging="720"/>
        <w:jc w:val="both"/>
        <w:rPr>
          <w:rFonts w:ascii="Bahnschrift" w:eastAsia="Times New Roman" w:hAnsi="Bahnschrift" w:cs="Times New Roman"/>
        </w:rPr>
      </w:pPr>
    </w:p>
    <w:p w14:paraId="54659BF1" w14:textId="77777777" w:rsidR="00374D9B" w:rsidRPr="003C35F0" w:rsidRDefault="00374D9B" w:rsidP="00374D9B">
      <w:pPr>
        <w:spacing w:after="0" w:line="240" w:lineRule="auto"/>
        <w:ind w:left="720" w:hanging="720"/>
        <w:jc w:val="both"/>
        <w:rPr>
          <w:rFonts w:ascii="Bahnschrift" w:eastAsia="Times New Roman" w:hAnsi="Bahnschrift" w:cs="Times New Roman"/>
        </w:rPr>
      </w:pPr>
      <w:r w:rsidRPr="003C35F0">
        <w:rPr>
          <w:rFonts w:ascii="Bahnschrift" w:eastAsia="Times New Roman" w:hAnsi="Bahnschrift" w:cs="Times New Roman"/>
        </w:rPr>
        <w:t xml:space="preserve">De Guzman, A. B., &amp; Celestino, A. C. (2018). Counseling in Philippine higher education institutions: Perspectives on referral practices and student receptiveness. </w:t>
      </w:r>
      <w:r w:rsidRPr="003C35F0">
        <w:rPr>
          <w:rFonts w:ascii="Bahnschrift" w:eastAsia="Times New Roman" w:hAnsi="Bahnschrift" w:cs="Times New Roman"/>
          <w:i/>
          <w:iCs/>
        </w:rPr>
        <w:t>Philippine Journal of Counseling Psychology, 20</w:t>
      </w:r>
      <w:r w:rsidRPr="003C35F0">
        <w:rPr>
          <w:rFonts w:ascii="Bahnschrift" w:eastAsia="Times New Roman" w:hAnsi="Bahnschrift" w:cs="Times New Roman"/>
        </w:rPr>
        <w:t>(1), 25–40.</w:t>
      </w:r>
    </w:p>
    <w:p w14:paraId="591C40C5" w14:textId="77777777" w:rsidR="00374D9B" w:rsidRPr="003C35F0" w:rsidRDefault="00374D9B" w:rsidP="00374D9B">
      <w:pPr>
        <w:spacing w:after="0" w:line="240" w:lineRule="auto"/>
        <w:ind w:left="720" w:hanging="720"/>
        <w:jc w:val="both"/>
        <w:rPr>
          <w:rFonts w:ascii="Bahnschrift" w:eastAsia="Times New Roman" w:hAnsi="Bahnschrift" w:cs="Times New Roman"/>
        </w:rPr>
      </w:pPr>
    </w:p>
    <w:p w14:paraId="2BEDA5B3" w14:textId="77777777" w:rsidR="00374D9B" w:rsidRPr="003C35F0" w:rsidRDefault="00374D9B" w:rsidP="00374D9B">
      <w:pPr>
        <w:spacing w:after="0" w:line="240" w:lineRule="auto"/>
        <w:ind w:left="720" w:hanging="720"/>
        <w:jc w:val="both"/>
        <w:rPr>
          <w:rFonts w:ascii="Bahnschrift" w:eastAsia="Times New Roman" w:hAnsi="Bahnschrift" w:cs="Times New Roman"/>
        </w:rPr>
      </w:pPr>
      <w:r w:rsidRPr="003C35F0">
        <w:rPr>
          <w:rFonts w:ascii="Bahnschrift" w:eastAsia="Times New Roman" w:hAnsi="Bahnschrift" w:cs="Times New Roman"/>
        </w:rPr>
        <w:t xml:space="preserve">Elias, M. J., Zins, J. E., Graczyk, P. A., &amp; Weissberg, R. P. (2008). Implementation, sustainability, and scaling up of social-emotional and academic innovations in public schools. </w:t>
      </w:r>
      <w:r w:rsidRPr="003C35F0">
        <w:rPr>
          <w:rFonts w:ascii="Bahnschrift" w:eastAsia="Times New Roman" w:hAnsi="Bahnschrift" w:cs="Times New Roman"/>
          <w:i/>
          <w:iCs/>
        </w:rPr>
        <w:t>School Psychology Review, 32</w:t>
      </w:r>
      <w:r w:rsidRPr="003C35F0">
        <w:rPr>
          <w:rFonts w:ascii="Bahnschrift" w:eastAsia="Times New Roman" w:hAnsi="Bahnschrift" w:cs="Times New Roman"/>
        </w:rPr>
        <w:t>(3), 303–319.</w:t>
      </w:r>
    </w:p>
    <w:p w14:paraId="56FA9F97" w14:textId="77777777" w:rsidR="00374D9B" w:rsidRPr="003C35F0" w:rsidRDefault="00374D9B" w:rsidP="00374D9B">
      <w:pPr>
        <w:spacing w:after="0" w:line="240" w:lineRule="auto"/>
        <w:ind w:left="720" w:hanging="720"/>
        <w:jc w:val="both"/>
        <w:rPr>
          <w:rFonts w:ascii="Bahnschrift" w:eastAsia="Times New Roman" w:hAnsi="Bahnschrift" w:cs="Times New Roman"/>
        </w:rPr>
      </w:pPr>
    </w:p>
    <w:p w14:paraId="67C93C58" w14:textId="77777777" w:rsidR="00374D9B" w:rsidRPr="003C35F0" w:rsidRDefault="00374D9B" w:rsidP="00374D9B">
      <w:pPr>
        <w:spacing w:after="0" w:line="240" w:lineRule="auto"/>
        <w:ind w:left="720" w:hanging="720"/>
        <w:jc w:val="both"/>
        <w:rPr>
          <w:rFonts w:ascii="Bahnschrift" w:eastAsia="Times New Roman" w:hAnsi="Bahnschrift" w:cs="Times New Roman"/>
        </w:rPr>
      </w:pPr>
      <w:r w:rsidRPr="003C35F0">
        <w:rPr>
          <w:rFonts w:ascii="Bahnschrift" w:eastAsia="Times New Roman" w:hAnsi="Bahnschrift" w:cs="Times New Roman"/>
        </w:rPr>
        <w:t xml:space="preserve">Farmer, E. M. Z., Burns, B. J., Phillips, S. D., Angold, A., &amp; Costello, E. J. (2003). Pathways into and through mental health services for children and adolescents. </w:t>
      </w:r>
      <w:r w:rsidRPr="003C35F0">
        <w:rPr>
          <w:rFonts w:ascii="Bahnschrift" w:eastAsia="Times New Roman" w:hAnsi="Bahnschrift" w:cs="Times New Roman"/>
          <w:i/>
          <w:iCs/>
        </w:rPr>
        <w:t>Psychiatric Services, 54</w:t>
      </w:r>
      <w:r w:rsidRPr="003C35F0">
        <w:rPr>
          <w:rFonts w:ascii="Bahnschrift" w:eastAsia="Times New Roman" w:hAnsi="Bahnschrift" w:cs="Times New Roman"/>
        </w:rPr>
        <w:t>(1), 60–66. https://doi.org/10.1176/appi.ps.54.1.60</w:t>
      </w:r>
    </w:p>
    <w:p w14:paraId="2E1CE9AA" w14:textId="77777777" w:rsidR="00374D9B" w:rsidRPr="003C35F0" w:rsidRDefault="00374D9B" w:rsidP="00374D9B">
      <w:pPr>
        <w:spacing w:after="0" w:line="240" w:lineRule="auto"/>
        <w:ind w:left="720" w:hanging="720"/>
        <w:jc w:val="both"/>
        <w:rPr>
          <w:rFonts w:ascii="Bahnschrift" w:eastAsia="Times New Roman" w:hAnsi="Bahnschrift" w:cs="Times New Roman"/>
        </w:rPr>
      </w:pPr>
    </w:p>
    <w:p w14:paraId="263CF59A" w14:textId="77777777" w:rsidR="00374D9B" w:rsidRPr="003C35F0" w:rsidRDefault="00374D9B" w:rsidP="00374D9B">
      <w:pPr>
        <w:spacing w:after="0" w:line="240" w:lineRule="auto"/>
        <w:ind w:left="720" w:hanging="720"/>
        <w:jc w:val="both"/>
        <w:rPr>
          <w:rFonts w:ascii="Bahnschrift" w:eastAsia="Times New Roman" w:hAnsi="Bahnschrift" w:cs="Times New Roman"/>
        </w:rPr>
      </w:pPr>
      <w:r w:rsidRPr="003C35F0">
        <w:rPr>
          <w:rFonts w:ascii="Bahnschrift" w:eastAsia="Times New Roman" w:hAnsi="Bahnschrift" w:cs="Times New Roman"/>
        </w:rPr>
        <w:t xml:space="preserve">Franklin, C., Kim, J. S., Ryan, T. N., Kelly, M. S., &amp; Montgomery, K. L. (2012). Teacher involvement in school mental health interventions: A systematic review. </w:t>
      </w:r>
      <w:r w:rsidRPr="003C35F0">
        <w:rPr>
          <w:rFonts w:ascii="Bahnschrift" w:eastAsia="Times New Roman" w:hAnsi="Bahnschrift" w:cs="Times New Roman"/>
          <w:i/>
          <w:iCs/>
        </w:rPr>
        <w:t>Children and Youth Services Review, 34</w:t>
      </w:r>
      <w:r w:rsidRPr="003C35F0">
        <w:rPr>
          <w:rFonts w:ascii="Bahnschrift" w:eastAsia="Times New Roman" w:hAnsi="Bahnschrift" w:cs="Times New Roman"/>
        </w:rPr>
        <w:t>(5), 973–982. https://doi.org/10.1016/j.childyouth.2012.01.027</w:t>
      </w:r>
    </w:p>
    <w:p w14:paraId="0BA6DC6E" w14:textId="77777777" w:rsidR="00374D9B" w:rsidRPr="003C35F0" w:rsidRDefault="00374D9B" w:rsidP="00374D9B">
      <w:pPr>
        <w:spacing w:after="0" w:line="240" w:lineRule="auto"/>
        <w:ind w:left="720" w:hanging="720"/>
        <w:jc w:val="both"/>
        <w:rPr>
          <w:rFonts w:ascii="Bahnschrift" w:eastAsia="Times New Roman" w:hAnsi="Bahnschrift" w:cs="Times New Roman"/>
        </w:rPr>
      </w:pPr>
    </w:p>
    <w:p w14:paraId="1B632661" w14:textId="77777777" w:rsidR="00374D9B" w:rsidRPr="003C35F0" w:rsidRDefault="00374D9B" w:rsidP="00374D9B">
      <w:pPr>
        <w:spacing w:after="0" w:line="240" w:lineRule="auto"/>
        <w:ind w:left="720" w:hanging="720"/>
        <w:jc w:val="both"/>
        <w:rPr>
          <w:rFonts w:ascii="Bahnschrift" w:eastAsia="Times New Roman" w:hAnsi="Bahnschrift" w:cs="Times New Roman"/>
        </w:rPr>
      </w:pPr>
      <w:r w:rsidRPr="003C35F0">
        <w:rPr>
          <w:rFonts w:ascii="Bahnschrift" w:eastAsia="Times New Roman" w:hAnsi="Bahnschrift" w:cs="Times New Roman"/>
        </w:rPr>
        <w:t xml:space="preserve">Ganga, R. N., Santa, K., Ali, M., &amp; Smith, G. (2024). The impact of a digital referral platform to improve access to child and adolescent mental health services: A prospective observational study with real-world data. </w:t>
      </w:r>
      <w:r w:rsidRPr="003C35F0">
        <w:rPr>
          <w:rFonts w:ascii="Bahnschrift" w:eastAsia="Times New Roman" w:hAnsi="Bahnschrift" w:cs="Times New Roman"/>
          <w:i/>
          <w:iCs/>
        </w:rPr>
        <w:t>International Journal of Environmental Research and Public Health, 21</w:t>
      </w:r>
      <w:r w:rsidRPr="003C35F0">
        <w:rPr>
          <w:rFonts w:ascii="Bahnschrift" w:eastAsia="Times New Roman" w:hAnsi="Bahnschrift" w:cs="Times New Roman"/>
        </w:rPr>
        <w:t xml:space="preserve">(10), 1318. </w:t>
      </w:r>
      <w:hyperlink r:id="rId7" w:tgtFrame="/home/hsl/Documentsx/_new" w:history="1">
        <w:r w:rsidRPr="003C35F0">
          <w:rPr>
            <w:rFonts w:ascii="Bahnschrift" w:eastAsia="Times New Roman" w:hAnsi="Bahnschrift" w:cs="Times New Roman"/>
          </w:rPr>
          <w:t>https://doi.org/10.3390/ijerph21101318</w:t>
        </w:r>
      </w:hyperlink>
    </w:p>
    <w:p w14:paraId="45C4167A" w14:textId="77777777" w:rsidR="00374D9B" w:rsidRDefault="00374D9B" w:rsidP="00374D9B">
      <w:pPr>
        <w:spacing w:after="0" w:line="240" w:lineRule="auto"/>
        <w:ind w:left="720" w:hanging="720"/>
        <w:jc w:val="both"/>
        <w:rPr>
          <w:rFonts w:ascii="Bahnschrift" w:eastAsia="Times New Roman" w:hAnsi="Bahnschrift" w:cs="Times New Roman"/>
        </w:rPr>
      </w:pPr>
    </w:p>
    <w:p w14:paraId="0E9F2BDA" w14:textId="77777777" w:rsidR="00374D9B" w:rsidRPr="003C35F0" w:rsidRDefault="00374D9B" w:rsidP="00374D9B">
      <w:pPr>
        <w:spacing w:after="0" w:line="240" w:lineRule="auto"/>
        <w:ind w:left="720" w:hanging="720"/>
        <w:jc w:val="both"/>
        <w:rPr>
          <w:rFonts w:ascii="Bahnschrift" w:eastAsia="Times New Roman" w:hAnsi="Bahnschrift" w:cs="Times New Roman"/>
        </w:rPr>
      </w:pPr>
      <w:r w:rsidRPr="003C35F0">
        <w:rPr>
          <w:rFonts w:ascii="Bahnschrift" w:eastAsia="Times New Roman" w:hAnsi="Bahnschrift" w:cs="Times New Roman"/>
        </w:rPr>
        <w:t xml:space="preserve">Gonzales, M. A., &amp; Tuazon, J. M. (2020). Enhancing referral systems through collaboration: Insights from guidance services in Philippine colleges. </w:t>
      </w:r>
      <w:r w:rsidRPr="003C35F0">
        <w:rPr>
          <w:rFonts w:ascii="Bahnschrift" w:eastAsia="Times New Roman" w:hAnsi="Bahnschrift" w:cs="Times New Roman"/>
          <w:i/>
          <w:iCs/>
        </w:rPr>
        <w:t>Journal of Educational Leadership and Policy Studies, 2</w:t>
      </w:r>
      <w:r w:rsidRPr="003C35F0">
        <w:rPr>
          <w:rFonts w:ascii="Bahnschrift" w:eastAsia="Times New Roman" w:hAnsi="Bahnschrift" w:cs="Times New Roman"/>
        </w:rPr>
        <w:t>(1), 78–91.</w:t>
      </w:r>
    </w:p>
    <w:p w14:paraId="0B620265" w14:textId="77777777" w:rsidR="00374D9B" w:rsidRPr="003C35F0" w:rsidRDefault="00374D9B" w:rsidP="00374D9B">
      <w:pPr>
        <w:spacing w:after="0" w:line="240" w:lineRule="auto"/>
        <w:ind w:left="720" w:hanging="720"/>
        <w:jc w:val="both"/>
        <w:rPr>
          <w:rFonts w:ascii="Bahnschrift" w:eastAsia="Times New Roman" w:hAnsi="Bahnschrift" w:cs="Times New Roman"/>
        </w:rPr>
      </w:pPr>
    </w:p>
    <w:p w14:paraId="4A029902" w14:textId="77777777" w:rsidR="00374D9B" w:rsidRPr="003C35F0" w:rsidRDefault="00374D9B" w:rsidP="00374D9B">
      <w:pPr>
        <w:spacing w:after="0" w:line="240" w:lineRule="auto"/>
        <w:ind w:left="720" w:hanging="720"/>
        <w:jc w:val="both"/>
        <w:rPr>
          <w:rFonts w:ascii="Bahnschrift" w:eastAsia="Times New Roman" w:hAnsi="Bahnschrift" w:cs="Times New Roman"/>
        </w:rPr>
      </w:pPr>
      <w:r w:rsidRPr="003C35F0">
        <w:rPr>
          <w:rFonts w:ascii="Bahnschrift" w:eastAsia="Times New Roman" w:hAnsi="Bahnschrift" w:cs="Times New Roman"/>
        </w:rPr>
        <w:t xml:space="preserve">Gonzalo, R. P., &amp; </w:t>
      </w:r>
      <w:proofErr w:type="spellStart"/>
      <w:r w:rsidRPr="003C35F0">
        <w:rPr>
          <w:rFonts w:ascii="Bahnschrift" w:eastAsia="Times New Roman" w:hAnsi="Bahnschrift" w:cs="Times New Roman"/>
        </w:rPr>
        <w:t>Alibudbud</w:t>
      </w:r>
      <w:proofErr w:type="spellEnd"/>
      <w:r w:rsidRPr="003C35F0">
        <w:rPr>
          <w:rFonts w:ascii="Bahnschrift" w:eastAsia="Times New Roman" w:hAnsi="Bahnschrift" w:cs="Times New Roman"/>
        </w:rPr>
        <w:t xml:space="preserve">, R. (2024). Advancing education-based mental health in low-resource settings during health crises: The mental health initiative of the University of the Philippines during the COVID-19 pandemic. </w:t>
      </w:r>
      <w:r w:rsidRPr="003C35F0">
        <w:rPr>
          <w:rFonts w:ascii="Bahnschrift" w:eastAsia="Times New Roman" w:hAnsi="Bahnschrift" w:cs="Times New Roman"/>
          <w:i/>
          <w:iCs/>
        </w:rPr>
        <w:t>Frontiers in Education, 9</w:t>
      </w:r>
      <w:r w:rsidRPr="003C35F0">
        <w:rPr>
          <w:rFonts w:ascii="Bahnschrift" w:eastAsia="Times New Roman" w:hAnsi="Bahnschrift" w:cs="Times New Roman"/>
        </w:rPr>
        <w:t xml:space="preserve">, 1428237. </w:t>
      </w:r>
      <w:hyperlink r:id="rId8" w:tgtFrame="/home/hsl/Documentsx/_new" w:history="1">
        <w:r w:rsidRPr="003C35F0">
          <w:rPr>
            <w:rFonts w:ascii="Bahnschrift" w:eastAsia="Times New Roman" w:hAnsi="Bahnschrift" w:cs="Times New Roman"/>
          </w:rPr>
          <w:t>https://doi.org/10.3389/feduc.2024.1428237</w:t>
        </w:r>
      </w:hyperlink>
    </w:p>
    <w:p w14:paraId="60B4C408" w14:textId="77777777" w:rsidR="00374D9B" w:rsidRPr="003C35F0" w:rsidRDefault="00374D9B" w:rsidP="00374D9B">
      <w:pPr>
        <w:spacing w:after="0" w:line="240" w:lineRule="auto"/>
        <w:ind w:left="720" w:hanging="720"/>
        <w:jc w:val="both"/>
        <w:rPr>
          <w:rFonts w:ascii="Bahnschrift" w:eastAsia="Times New Roman" w:hAnsi="Bahnschrift" w:cs="Times New Roman"/>
        </w:rPr>
      </w:pPr>
    </w:p>
    <w:p w14:paraId="11D14CBD" w14:textId="77777777" w:rsidR="00374D9B" w:rsidRPr="003C35F0" w:rsidRDefault="00374D9B" w:rsidP="00374D9B">
      <w:pPr>
        <w:spacing w:after="0" w:line="240" w:lineRule="auto"/>
        <w:ind w:left="720" w:hanging="720"/>
        <w:jc w:val="both"/>
        <w:rPr>
          <w:rFonts w:ascii="Bahnschrift" w:eastAsia="Times New Roman" w:hAnsi="Bahnschrift" w:cs="Times New Roman"/>
        </w:rPr>
      </w:pPr>
      <w:r w:rsidRPr="003C35F0">
        <w:rPr>
          <w:rFonts w:ascii="Bahnschrift" w:eastAsia="Times New Roman" w:hAnsi="Bahnschrift" w:cs="Times New Roman"/>
        </w:rPr>
        <w:t xml:space="preserve">Halladay, J., Woock, R., Xu, A., Boutros Salama, M., &amp; Munn, C. (2022). Professor Hippo-on-Campus: Developing and evaluating an educational intervention to build mental health literacy among university faculty and staff. </w:t>
      </w:r>
      <w:r w:rsidRPr="003C35F0">
        <w:rPr>
          <w:rFonts w:ascii="Bahnschrift" w:eastAsia="Times New Roman" w:hAnsi="Bahnschrift" w:cs="Times New Roman"/>
          <w:i/>
          <w:iCs/>
        </w:rPr>
        <w:t>Journal of American College Health, 70</w:t>
      </w:r>
      <w:r w:rsidRPr="003C35F0">
        <w:rPr>
          <w:rFonts w:ascii="Bahnschrift" w:eastAsia="Times New Roman" w:hAnsi="Bahnschrift" w:cs="Times New Roman"/>
        </w:rPr>
        <w:t xml:space="preserve">(8), 2405–2414. </w:t>
      </w:r>
      <w:hyperlink r:id="rId9" w:tgtFrame="/home/hsl/Documentsx/_new" w:history="1">
        <w:r w:rsidRPr="003C35F0">
          <w:rPr>
            <w:rFonts w:ascii="Bahnschrift" w:eastAsia="Times New Roman" w:hAnsi="Bahnschrift" w:cs="Times New Roman"/>
          </w:rPr>
          <w:t>https://doi.org/10.1080/07448481.2022.2115305</w:t>
        </w:r>
      </w:hyperlink>
    </w:p>
    <w:p w14:paraId="25799C5E" w14:textId="77777777" w:rsidR="00374D9B" w:rsidRPr="003C35F0" w:rsidRDefault="00374D9B" w:rsidP="00374D9B">
      <w:pPr>
        <w:spacing w:after="0" w:line="240" w:lineRule="auto"/>
        <w:ind w:left="720" w:hanging="720"/>
        <w:jc w:val="both"/>
        <w:rPr>
          <w:rFonts w:ascii="Bahnschrift" w:eastAsia="Times New Roman" w:hAnsi="Bahnschrift" w:cs="Times New Roman"/>
        </w:rPr>
      </w:pPr>
      <w:r w:rsidRPr="003C35F0">
        <w:rPr>
          <w:rFonts w:ascii="Bahnschrift" w:eastAsia="Times New Roman" w:hAnsi="Bahnschrift" w:cs="Times New Roman"/>
        </w:rPr>
        <w:lastRenderedPageBreak/>
        <w:t xml:space="preserve">Kearney, C. A., &amp; Graczyk, P. A. (2014). A response to intervention model to promote school attendance and decrease school absenteeism. </w:t>
      </w:r>
      <w:r w:rsidRPr="003C35F0">
        <w:rPr>
          <w:rFonts w:ascii="Bahnschrift" w:eastAsia="Times New Roman" w:hAnsi="Bahnschrift" w:cs="Times New Roman"/>
          <w:i/>
          <w:iCs/>
        </w:rPr>
        <w:t>Child &amp; Youth Care Forum, 43</w:t>
      </w:r>
      <w:r w:rsidRPr="003C35F0">
        <w:rPr>
          <w:rFonts w:ascii="Bahnschrift" w:eastAsia="Times New Roman" w:hAnsi="Bahnschrift" w:cs="Times New Roman"/>
        </w:rPr>
        <w:t>(1), 1–25. https://doi.org/10.1007/s10566-013-9222-1</w:t>
      </w:r>
    </w:p>
    <w:p w14:paraId="45709458" w14:textId="77777777" w:rsidR="00374D9B" w:rsidRPr="003C35F0" w:rsidRDefault="00374D9B" w:rsidP="00374D9B">
      <w:pPr>
        <w:spacing w:after="0" w:line="240" w:lineRule="auto"/>
        <w:ind w:left="720" w:hanging="720"/>
        <w:jc w:val="both"/>
        <w:rPr>
          <w:rFonts w:ascii="Bahnschrift" w:eastAsia="Times New Roman" w:hAnsi="Bahnschrift" w:cs="Times New Roman"/>
        </w:rPr>
      </w:pPr>
    </w:p>
    <w:p w14:paraId="0AF7D7C7" w14:textId="77777777" w:rsidR="00374D9B" w:rsidRPr="003C35F0" w:rsidRDefault="00374D9B" w:rsidP="00374D9B">
      <w:pPr>
        <w:spacing w:after="0" w:line="240" w:lineRule="auto"/>
        <w:ind w:left="720" w:hanging="720"/>
        <w:jc w:val="both"/>
        <w:rPr>
          <w:rFonts w:ascii="Bahnschrift" w:eastAsia="Times New Roman" w:hAnsi="Bahnschrift" w:cs="Times New Roman"/>
        </w:rPr>
      </w:pPr>
      <w:r w:rsidRPr="003C35F0">
        <w:rPr>
          <w:rFonts w:ascii="Bahnschrift" w:eastAsia="Times New Roman" w:hAnsi="Bahnschrift" w:cs="Times New Roman"/>
        </w:rPr>
        <w:t xml:space="preserve">Morgan, D. L. (2007). Paradigms lost and pragmatism regained: Methodological implications of combining qualitative and quantitative methods. </w:t>
      </w:r>
      <w:r w:rsidRPr="003C35F0">
        <w:rPr>
          <w:rFonts w:ascii="Bahnschrift" w:eastAsia="Times New Roman" w:hAnsi="Bahnschrift" w:cs="Times New Roman"/>
          <w:i/>
          <w:iCs/>
        </w:rPr>
        <w:t>Journal of Mixed Methods Research, 1</w:t>
      </w:r>
      <w:r w:rsidRPr="003C35F0">
        <w:rPr>
          <w:rFonts w:ascii="Bahnschrift" w:eastAsia="Times New Roman" w:hAnsi="Bahnschrift" w:cs="Times New Roman"/>
        </w:rPr>
        <w:t xml:space="preserve">(1), 48–76. </w:t>
      </w:r>
    </w:p>
    <w:p w14:paraId="611D9EAB" w14:textId="77777777" w:rsidR="00374D9B" w:rsidRPr="003C35F0" w:rsidRDefault="00374D9B" w:rsidP="00374D9B">
      <w:pPr>
        <w:spacing w:after="0" w:line="240" w:lineRule="auto"/>
        <w:ind w:left="720" w:hanging="720"/>
        <w:jc w:val="both"/>
        <w:rPr>
          <w:rFonts w:ascii="Bahnschrift" w:eastAsia="Times New Roman" w:hAnsi="Bahnschrift" w:cs="Times New Roman"/>
        </w:rPr>
      </w:pPr>
    </w:p>
    <w:p w14:paraId="485CFADC" w14:textId="77777777" w:rsidR="00374D9B" w:rsidRPr="003C35F0" w:rsidRDefault="00374D9B" w:rsidP="00374D9B">
      <w:pPr>
        <w:spacing w:after="0" w:line="240" w:lineRule="auto"/>
        <w:ind w:left="720" w:hanging="720"/>
        <w:jc w:val="both"/>
        <w:rPr>
          <w:rFonts w:ascii="Bahnschrift" w:eastAsia="Times New Roman" w:hAnsi="Bahnschrift" w:cs="Times New Roman"/>
        </w:rPr>
      </w:pPr>
      <w:r w:rsidRPr="003C35F0">
        <w:rPr>
          <w:rFonts w:ascii="Bahnschrift" w:eastAsia="Times New Roman" w:hAnsi="Bahnschrift" w:cs="Times New Roman"/>
        </w:rPr>
        <w:t xml:space="preserve">Owens, J. S., Murphy, C. E., Richerson, L., </w:t>
      </w:r>
      <w:proofErr w:type="spellStart"/>
      <w:r w:rsidRPr="003C35F0">
        <w:rPr>
          <w:rFonts w:ascii="Bahnschrift" w:eastAsia="Times New Roman" w:hAnsi="Bahnschrift" w:cs="Times New Roman"/>
        </w:rPr>
        <w:t>Girio</w:t>
      </w:r>
      <w:proofErr w:type="spellEnd"/>
      <w:r w:rsidRPr="003C35F0">
        <w:rPr>
          <w:rFonts w:ascii="Bahnschrift" w:eastAsia="Times New Roman" w:hAnsi="Bahnschrift" w:cs="Times New Roman"/>
        </w:rPr>
        <w:t>, E., &amp; Himawan, L. (2012). The impact of teacher perceptions on student mental health service use in schools</w:t>
      </w:r>
      <w:r w:rsidRPr="003C35F0">
        <w:rPr>
          <w:rFonts w:ascii="Bahnschrift" w:eastAsia="Times New Roman" w:hAnsi="Bahnschrift" w:cs="Times New Roman"/>
          <w:i/>
          <w:iCs/>
        </w:rPr>
        <w:t>. School Mental Health, 4</w:t>
      </w:r>
      <w:r w:rsidRPr="003C35F0">
        <w:rPr>
          <w:rFonts w:ascii="Bahnschrift" w:eastAsia="Times New Roman" w:hAnsi="Bahnschrift" w:cs="Times New Roman"/>
        </w:rPr>
        <w:t xml:space="preserve">(1), 11–22. </w:t>
      </w:r>
    </w:p>
    <w:p w14:paraId="3210A39D" w14:textId="77777777" w:rsidR="00374D9B" w:rsidRPr="003C35F0" w:rsidRDefault="00374D9B" w:rsidP="00374D9B">
      <w:pPr>
        <w:spacing w:after="0" w:line="240" w:lineRule="auto"/>
        <w:ind w:left="720" w:hanging="720"/>
        <w:jc w:val="both"/>
        <w:rPr>
          <w:rFonts w:ascii="Bahnschrift" w:eastAsia="Times New Roman" w:hAnsi="Bahnschrift" w:cs="Times New Roman"/>
        </w:rPr>
      </w:pPr>
    </w:p>
    <w:p w14:paraId="436181C5" w14:textId="77777777" w:rsidR="00374D9B" w:rsidRPr="003C35F0" w:rsidRDefault="00374D9B" w:rsidP="00374D9B">
      <w:pPr>
        <w:spacing w:after="0" w:line="240" w:lineRule="auto"/>
        <w:ind w:left="720" w:hanging="720"/>
        <w:jc w:val="both"/>
        <w:rPr>
          <w:rFonts w:ascii="Bahnschrift" w:eastAsia="Times New Roman" w:hAnsi="Bahnschrift" w:cs="Times New Roman"/>
        </w:rPr>
      </w:pPr>
      <w:r w:rsidRPr="003C35F0">
        <w:rPr>
          <w:rFonts w:ascii="Bahnschrift" w:eastAsia="Times New Roman" w:hAnsi="Bahnschrift" w:cs="Times New Roman"/>
        </w:rPr>
        <w:t xml:space="preserve">Patton, M. Q. (2015). </w:t>
      </w:r>
      <w:r w:rsidRPr="003C35F0">
        <w:rPr>
          <w:rFonts w:ascii="Bahnschrift" w:eastAsia="Times New Roman" w:hAnsi="Bahnschrift" w:cs="Times New Roman"/>
          <w:i/>
          <w:iCs/>
        </w:rPr>
        <w:t>Qualitative research &amp; evaluation methods</w:t>
      </w:r>
      <w:r w:rsidRPr="003C35F0">
        <w:rPr>
          <w:rFonts w:ascii="Bahnschrift" w:eastAsia="Times New Roman" w:hAnsi="Bahnschrift" w:cs="Times New Roman"/>
        </w:rPr>
        <w:t xml:space="preserve"> (4th ed.). SAGE Publications.</w:t>
      </w:r>
    </w:p>
    <w:p w14:paraId="0EBC4434" w14:textId="77777777" w:rsidR="00374D9B" w:rsidRPr="003C35F0" w:rsidRDefault="00374D9B" w:rsidP="00374D9B">
      <w:pPr>
        <w:spacing w:after="0" w:line="240" w:lineRule="auto"/>
        <w:ind w:left="720" w:hanging="720"/>
        <w:jc w:val="both"/>
        <w:rPr>
          <w:rFonts w:ascii="Bahnschrift" w:eastAsia="Times New Roman" w:hAnsi="Bahnschrift" w:cs="Times New Roman"/>
        </w:rPr>
      </w:pPr>
    </w:p>
    <w:p w14:paraId="67912600" w14:textId="77777777" w:rsidR="00374D9B" w:rsidRPr="003C35F0" w:rsidRDefault="00374D9B" w:rsidP="00374D9B">
      <w:pPr>
        <w:spacing w:after="0" w:line="240" w:lineRule="auto"/>
        <w:ind w:left="720" w:hanging="720"/>
        <w:jc w:val="both"/>
        <w:rPr>
          <w:rFonts w:ascii="Bahnschrift" w:eastAsia="Times New Roman" w:hAnsi="Bahnschrift" w:cs="Times New Roman"/>
        </w:rPr>
      </w:pPr>
      <w:r w:rsidRPr="003C35F0">
        <w:rPr>
          <w:rFonts w:ascii="Bahnschrift" w:eastAsia="Times New Roman" w:hAnsi="Bahnschrift" w:cs="Times New Roman"/>
        </w:rPr>
        <w:t xml:space="preserve">Rickwood, D., </w:t>
      </w:r>
      <w:proofErr w:type="spellStart"/>
      <w:r w:rsidRPr="003C35F0">
        <w:rPr>
          <w:rFonts w:ascii="Bahnschrift" w:eastAsia="Times New Roman" w:hAnsi="Bahnschrift" w:cs="Times New Roman"/>
        </w:rPr>
        <w:t>Mazzer</w:t>
      </w:r>
      <w:proofErr w:type="spellEnd"/>
      <w:r w:rsidRPr="003C35F0">
        <w:rPr>
          <w:rFonts w:ascii="Bahnschrift" w:eastAsia="Times New Roman" w:hAnsi="Bahnschrift" w:cs="Times New Roman"/>
        </w:rPr>
        <w:t xml:space="preserve">, K. R., &amp; Telford, N. (2005). Mental health help-seeking in young people and the role of trusted adults: A review. </w:t>
      </w:r>
      <w:r w:rsidRPr="003C35F0">
        <w:rPr>
          <w:rFonts w:ascii="Bahnschrift" w:eastAsia="Times New Roman" w:hAnsi="Bahnschrift" w:cs="Times New Roman"/>
          <w:i/>
          <w:iCs/>
        </w:rPr>
        <w:t>Australian e-Journal for the Advancement of Mental Health, 4</w:t>
      </w:r>
      <w:r w:rsidRPr="003C35F0">
        <w:rPr>
          <w:rFonts w:ascii="Bahnschrift" w:eastAsia="Times New Roman" w:hAnsi="Bahnschrift" w:cs="Times New Roman"/>
        </w:rPr>
        <w:t xml:space="preserve">(3), 1–34. </w:t>
      </w:r>
    </w:p>
    <w:p w14:paraId="466BC729" w14:textId="77777777" w:rsidR="00374D9B" w:rsidRPr="003C35F0" w:rsidRDefault="00374D9B" w:rsidP="00374D9B">
      <w:pPr>
        <w:spacing w:after="0" w:line="240" w:lineRule="auto"/>
        <w:ind w:left="720" w:hanging="720"/>
        <w:jc w:val="both"/>
        <w:rPr>
          <w:rFonts w:ascii="Bahnschrift" w:eastAsia="Times New Roman" w:hAnsi="Bahnschrift" w:cs="Times New Roman"/>
        </w:rPr>
      </w:pPr>
    </w:p>
    <w:p w14:paraId="2FC43EB8" w14:textId="77777777" w:rsidR="00374D9B" w:rsidRPr="003C35F0" w:rsidRDefault="00374D9B" w:rsidP="00374D9B">
      <w:pPr>
        <w:spacing w:after="0" w:line="240" w:lineRule="auto"/>
        <w:ind w:left="720" w:hanging="720"/>
        <w:jc w:val="both"/>
        <w:rPr>
          <w:rFonts w:ascii="Bahnschrift" w:eastAsia="Times New Roman" w:hAnsi="Bahnschrift" w:cs="Times New Roman"/>
        </w:rPr>
      </w:pPr>
      <w:r w:rsidRPr="003C35F0">
        <w:rPr>
          <w:rFonts w:ascii="Bahnschrift" w:eastAsia="Times New Roman" w:hAnsi="Bahnschrift" w:cs="Times New Roman"/>
        </w:rPr>
        <w:t xml:space="preserve">Sandelowski, M. (2000). Whatever happened to qualitative description? </w:t>
      </w:r>
      <w:r w:rsidRPr="003C35F0">
        <w:rPr>
          <w:rFonts w:ascii="Bahnschrift" w:eastAsia="Times New Roman" w:hAnsi="Bahnschrift" w:cs="Times New Roman"/>
          <w:i/>
          <w:iCs/>
        </w:rPr>
        <w:t>Research in Nursing &amp; Health, 23</w:t>
      </w:r>
      <w:r w:rsidRPr="003C35F0">
        <w:rPr>
          <w:rFonts w:ascii="Bahnschrift" w:eastAsia="Times New Roman" w:hAnsi="Bahnschrift" w:cs="Times New Roman"/>
        </w:rPr>
        <w:t>(4), 334–340.</w:t>
      </w:r>
    </w:p>
    <w:p w14:paraId="16A6F5FC" w14:textId="77777777" w:rsidR="00374D9B" w:rsidRPr="003C35F0" w:rsidRDefault="00374D9B" w:rsidP="00374D9B">
      <w:pPr>
        <w:spacing w:after="0" w:line="240" w:lineRule="auto"/>
        <w:ind w:left="720" w:hanging="720"/>
        <w:jc w:val="both"/>
        <w:rPr>
          <w:rFonts w:ascii="Bahnschrift" w:eastAsia="Times New Roman" w:hAnsi="Bahnschrift" w:cs="Times New Roman"/>
        </w:rPr>
      </w:pPr>
    </w:p>
    <w:p w14:paraId="1E376F8F" w14:textId="77777777" w:rsidR="00374D9B" w:rsidRPr="003C35F0" w:rsidRDefault="00374D9B" w:rsidP="00374D9B">
      <w:pPr>
        <w:spacing w:after="0" w:line="240" w:lineRule="auto"/>
        <w:ind w:left="720" w:hanging="720"/>
        <w:jc w:val="both"/>
        <w:rPr>
          <w:rFonts w:ascii="Bahnschrift" w:eastAsia="Times New Roman" w:hAnsi="Bahnschrift" w:cs="Times New Roman"/>
        </w:rPr>
      </w:pPr>
      <w:r w:rsidRPr="003C35F0">
        <w:rPr>
          <w:rFonts w:ascii="Bahnschrift" w:eastAsia="Times New Roman" w:hAnsi="Bahnschrift" w:cs="Times New Roman"/>
        </w:rPr>
        <w:t xml:space="preserve">Santa, K., Dixon, C., Ganga, R. N., Trainor, G., Smith, G., Furfie, V., &amp; Brown, H. (2024). Facilitating access to mental health services: A stakeholder-driven improvement of the Children and Young People (CYP) as One referral platform. </w:t>
      </w:r>
      <w:r w:rsidRPr="003C35F0">
        <w:rPr>
          <w:rFonts w:ascii="Bahnschrift" w:eastAsia="Times New Roman" w:hAnsi="Bahnschrift" w:cs="Times New Roman"/>
          <w:i/>
          <w:iCs/>
        </w:rPr>
        <w:t>International Journal of Environmental Research and Public Health, 21</w:t>
      </w:r>
      <w:r w:rsidRPr="003C35F0">
        <w:rPr>
          <w:rFonts w:ascii="Bahnschrift" w:eastAsia="Times New Roman" w:hAnsi="Bahnschrift" w:cs="Times New Roman"/>
        </w:rPr>
        <w:t>(6), 784. https://doi.org/10.3390/ijerph21060784</w:t>
      </w:r>
    </w:p>
    <w:p w14:paraId="4FBF7E77" w14:textId="77777777" w:rsidR="00374D9B" w:rsidRPr="003C35F0" w:rsidRDefault="00374D9B" w:rsidP="00374D9B">
      <w:pPr>
        <w:spacing w:after="0" w:line="240" w:lineRule="auto"/>
        <w:ind w:left="720" w:hanging="720"/>
        <w:jc w:val="both"/>
        <w:rPr>
          <w:rFonts w:ascii="Bahnschrift" w:eastAsia="Times New Roman" w:hAnsi="Bahnschrift" w:cs="Times New Roman"/>
        </w:rPr>
      </w:pPr>
    </w:p>
    <w:p w14:paraId="006379F2" w14:textId="77777777" w:rsidR="00374D9B" w:rsidRPr="003C35F0" w:rsidRDefault="00374D9B" w:rsidP="00374D9B">
      <w:pPr>
        <w:spacing w:after="0" w:line="240" w:lineRule="auto"/>
        <w:ind w:left="720" w:hanging="720"/>
        <w:jc w:val="both"/>
        <w:rPr>
          <w:rFonts w:ascii="Bahnschrift" w:eastAsia="Times New Roman" w:hAnsi="Bahnschrift" w:cs="Times New Roman"/>
        </w:rPr>
      </w:pPr>
      <w:r w:rsidRPr="003C35F0">
        <w:rPr>
          <w:rFonts w:ascii="Bahnschrift" w:eastAsia="Times New Roman" w:hAnsi="Bahnschrift" w:cs="Times New Roman"/>
        </w:rPr>
        <w:t xml:space="preserve">Schwandt, T. A. (2000). Three epistemological stances for qualitative inquiry: Interpretivism, hermeneutics, and social constructionism. In N. K. Denzin &amp; Y. S. Lincoln (Eds.), </w:t>
      </w:r>
      <w:r w:rsidRPr="003C35F0">
        <w:rPr>
          <w:rFonts w:ascii="Bahnschrift" w:eastAsia="Times New Roman" w:hAnsi="Bahnschrift" w:cs="Times New Roman"/>
          <w:i/>
          <w:iCs/>
        </w:rPr>
        <w:t>Handbook of qualitative research</w:t>
      </w:r>
      <w:r w:rsidRPr="003C35F0">
        <w:rPr>
          <w:rFonts w:ascii="Bahnschrift" w:eastAsia="Times New Roman" w:hAnsi="Bahnschrift" w:cs="Times New Roman"/>
        </w:rPr>
        <w:t xml:space="preserve"> (2nd ed., pp. 189–213). SAGE Publications.</w:t>
      </w:r>
    </w:p>
    <w:p w14:paraId="0349DCCF" w14:textId="77777777" w:rsidR="00374D9B" w:rsidRPr="003C35F0" w:rsidRDefault="00374D9B" w:rsidP="00374D9B">
      <w:pPr>
        <w:spacing w:after="0" w:line="240" w:lineRule="auto"/>
        <w:ind w:left="720" w:hanging="720"/>
        <w:jc w:val="both"/>
        <w:rPr>
          <w:rFonts w:ascii="Bahnschrift" w:eastAsia="Times New Roman" w:hAnsi="Bahnschrift" w:cs="Times New Roman"/>
        </w:rPr>
      </w:pPr>
    </w:p>
    <w:p w14:paraId="43A8A4E7" w14:textId="77777777" w:rsidR="00374D9B" w:rsidRPr="003C35F0" w:rsidRDefault="00374D9B" w:rsidP="00374D9B">
      <w:pPr>
        <w:spacing w:after="0" w:line="240" w:lineRule="auto"/>
        <w:ind w:left="720" w:hanging="720"/>
        <w:jc w:val="both"/>
        <w:rPr>
          <w:rFonts w:ascii="Bahnschrift" w:eastAsia="Times New Roman" w:hAnsi="Bahnschrift" w:cs="Times New Roman"/>
        </w:rPr>
      </w:pPr>
      <w:r w:rsidRPr="003C35F0">
        <w:rPr>
          <w:rFonts w:ascii="Bahnschrift" w:eastAsia="Times New Roman" w:hAnsi="Bahnschrift" w:cs="Times New Roman"/>
        </w:rPr>
        <w:t xml:space="preserve">Vygotsky, L. S. (1978). </w:t>
      </w:r>
      <w:r w:rsidRPr="003C35F0">
        <w:rPr>
          <w:rFonts w:ascii="Bahnschrift" w:eastAsia="Times New Roman" w:hAnsi="Bahnschrift" w:cs="Times New Roman"/>
          <w:i/>
          <w:iCs/>
        </w:rPr>
        <w:t>Mind in society: The development of higher psychological processes</w:t>
      </w:r>
      <w:r w:rsidRPr="003C35F0">
        <w:rPr>
          <w:rFonts w:ascii="Bahnschrift" w:eastAsia="Times New Roman" w:hAnsi="Bahnschrift" w:cs="Times New Roman"/>
        </w:rPr>
        <w:t>. Harvard University Press.</w:t>
      </w:r>
    </w:p>
    <w:p w14:paraId="37CB0082" w14:textId="77777777" w:rsidR="00374D9B" w:rsidRPr="003C35F0" w:rsidRDefault="00374D9B" w:rsidP="00374D9B">
      <w:pPr>
        <w:spacing w:after="0" w:line="240" w:lineRule="auto"/>
        <w:ind w:left="720" w:hanging="720"/>
        <w:jc w:val="both"/>
        <w:rPr>
          <w:rFonts w:ascii="Bahnschrift" w:eastAsia="Times New Roman" w:hAnsi="Bahnschrift" w:cs="Times New Roman"/>
        </w:rPr>
      </w:pPr>
    </w:p>
    <w:p w14:paraId="01DF4389" w14:textId="77777777" w:rsidR="00374D9B" w:rsidRPr="003C35F0" w:rsidRDefault="00374D9B" w:rsidP="00374D9B">
      <w:pPr>
        <w:suppressLineNumbers/>
        <w:spacing w:after="0" w:line="240" w:lineRule="auto"/>
        <w:ind w:left="720" w:hanging="720"/>
        <w:jc w:val="both"/>
        <w:rPr>
          <w:rFonts w:ascii="Bahnschrift" w:eastAsia="Times New Roman" w:hAnsi="Bahnschrift" w:cs="Times New Roman"/>
        </w:rPr>
      </w:pPr>
      <w:r w:rsidRPr="003C35F0">
        <w:rPr>
          <w:rFonts w:ascii="Bahnschrift" w:eastAsia="Times New Roman" w:hAnsi="Bahnschrift" w:cs="Times New Roman"/>
        </w:rPr>
        <w:t xml:space="preserve">Willis, J. W. (2007). </w:t>
      </w:r>
      <w:r w:rsidRPr="003C35F0">
        <w:rPr>
          <w:rFonts w:ascii="Bahnschrift" w:eastAsia="Times New Roman" w:hAnsi="Bahnschrift" w:cs="Times New Roman"/>
          <w:i/>
          <w:iCs/>
        </w:rPr>
        <w:t>Foundations of qualitative research: Interpretive and critical approaches</w:t>
      </w:r>
      <w:r w:rsidRPr="003C35F0">
        <w:rPr>
          <w:rFonts w:ascii="Bahnschrift" w:eastAsia="Times New Roman" w:hAnsi="Bahnschrift" w:cs="Times New Roman"/>
        </w:rPr>
        <w:t>. SAGE Publications.</w:t>
      </w:r>
    </w:p>
    <w:p w14:paraId="1DCC34C7" w14:textId="77777777" w:rsidR="00B517BC" w:rsidRPr="0076460C" w:rsidRDefault="00B517BC" w:rsidP="00B517BC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</w:p>
    <w:p w14:paraId="7F55EAF9" w14:textId="4E37BB98" w:rsidR="00671F20" w:rsidRPr="0076460C" w:rsidRDefault="00671F20" w:rsidP="00FE2FD1">
      <w:pPr>
        <w:rPr>
          <w:sz w:val="24"/>
          <w:szCs w:val="24"/>
          <w:lang w:val="en-US"/>
        </w:rPr>
      </w:pPr>
    </w:p>
    <w:p w14:paraId="5CF7CE56" w14:textId="77777777" w:rsidR="0076460C" w:rsidRPr="0076460C" w:rsidRDefault="0076460C">
      <w:pPr>
        <w:rPr>
          <w:sz w:val="24"/>
          <w:szCs w:val="24"/>
          <w:lang w:val="en-US"/>
        </w:rPr>
      </w:pPr>
    </w:p>
    <w:sectPr w:rsidR="0076460C" w:rsidRPr="0076460C" w:rsidSect="00AE2C6C">
      <w:headerReference w:type="default" r:id="rId10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F9C72" w14:textId="77777777" w:rsidR="00916C05" w:rsidRDefault="00916C05" w:rsidP="00290EE2">
      <w:pPr>
        <w:spacing w:after="0" w:line="240" w:lineRule="auto"/>
      </w:pPr>
      <w:r>
        <w:separator/>
      </w:r>
    </w:p>
  </w:endnote>
  <w:endnote w:type="continuationSeparator" w:id="0">
    <w:p w14:paraId="497FF0E8" w14:textId="77777777" w:rsidR="00916C05" w:rsidRDefault="00916C05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altName w:val="Noto Sans Myanmar Me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ahnschrift">
    <w:altName w:val="Pyidaungsu"/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5148F" w14:textId="77777777" w:rsidR="00916C05" w:rsidRDefault="00916C05" w:rsidP="00290EE2">
      <w:pPr>
        <w:spacing w:after="0" w:line="240" w:lineRule="auto"/>
      </w:pPr>
      <w:r>
        <w:separator/>
      </w:r>
    </w:p>
  </w:footnote>
  <w:footnote w:type="continuationSeparator" w:id="0">
    <w:p w14:paraId="61A00816" w14:textId="77777777" w:rsidR="00916C05" w:rsidRDefault="00916C05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963175"/>
    <w:multiLevelType w:val="multilevel"/>
    <w:tmpl w:val="0EAC1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F16537"/>
    <w:multiLevelType w:val="multilevel"/>
    <w:tmpl w:val="86805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1E1B4D"/>
    <w:multiLevelType w:val="multilevel"/>
    <w:tmpl w:val="36A6D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3D2433"/>
    <w:multiLevelType w:val="multilevel"/>
    <w:tmpl w:val="E75E9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3"/>
  </w:num>
  <w:num w:numId="2" w16cid:durableId="1840268275">
    <w:abstractNumId w:val="11"/>
  </w:num>
  <w:num w:numId="3" w16cid:durableId="2000771353">
    <w:abstractNumId w:val="39"/>
  </w:num>
  <w:num w:numId="4" w16cid:durableId="2116243982">
    <w:abstractNumId w:val="35"/>
  </w:num>
  <w:num w:numId="5" w16cid:durableId="1848906244">
    <w:abstractNumId w:val="15"/>
  </w:num>
  <w:num w:numId="6" w16cid:durableId="1097823186">
    <w:abstractNumId w:val="32"/>
  </w:num>
  <w:num w:numId="7" w16cid:durableId="692804235">
    <w:abstractNumId w:val="2"/>
  </w:num>
  <w:num w:numId="8" w16cid:durableId="1726566390">
    <w:abstractNumId w:val="9"/>
  </w:num>
  <w:num w:numId="9" w16cid:durableId="1678072523">
    <w:abstractNumId w:val="26"/>
  </w:num>
  <w:num w:numId="10" w16cid:durableId="657853467">
    <w:abstractNumId w:val="29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31"/>
  </w:num>
  <w:num w:numId="14" w16cid:durableId="1610159056">
    <w:abstractNumId w:val="28"/>
  </w:num>
  <w:num w:numId="15" w16cid:durableId="1035691151">
    <w:abstractNumId w:val="22"/>
  </w:num>
  <w:num w:numId="16" w16cid:durableId="1345325102">
    <w:abstractNumId w:val="6"/>
  </w:num>
  <w:num w:numId="17" w16cid:durableId="1939287957">
    <w:abstractNumId w:val="40"/>
  </w:num>
  <w:num w:numId="18" w16cid:durableId="1050766509">
    <w:abstractNumId w:val="5"/>
  </w:num>
  <w:num w:numId="19" w16cid:durableId="2067869038">
    <w:abstractNumId w:val="38"/>
  </w:num>
  <w:num w:numId="20" w16cid:durableId="926382073">
    <w:abstractNumId w:val="33"/>
  </w:num>
  <w:num w:numId="21" w16cid:durableId="175774230">
    <w:abstractNumId w:val="30"/>
  </w:num>
  <w:num w:numId="22" w16cid:durableId="1980959878">
    <w:abstractNumId w:val="0"/>
  </w:num>
  <w:num w:numId="23" w16cid:durableId="853687006">
    <w:abstractNumId w:val="10"/>
  </w:num>
  <w:num w:numId="24" w16cid:durableId="767386865">
    <w:abstractNumId w:val="4"/>
  </w:num>
  <w:num w:numId="25" w16cid:durableId="1604609217">
    <w:abstractNumId w:val="27"/>
  </w:num>
  <w:num w:numId="26" w16cid:durableId="1921407878">
    <w:abstractNumId w:val="18"/>
  </w:num>
  <w:num w:numId="27" w16cid:durableId="1137604831">
    <w:abstractNumId w:val="37"/>
  </w:num>
  <w:num w:numId="28" w16cid:durableId="1843815622">
    <w:abstractNumId w:val="21"/>
  </w:num>
  <w:num w:numId="29" w16cid:durableId="1984578508">
    <w:abstractNumId w:val="19"/>
  </w:num>
  <w:num w:numId="30" w16cid:durableId="1087849804">
    <w:abstractNumId w:val="16"/>
  </w:num>
  <w:num w:numId="31" w16cid:durableId="1535196864">
    <w:abstractNumId w:val="20"/>
  </w:num>
  <w:num w:numId="32" w16cid:durableId="1006328205">
    <w:abstractNumId w:val="36"/>
  </w:num>
  <w:num w:numId="33" w16cid:durableId="2076972064">
    <w:abstractNumId w:val="25"/>
  </w:num>
  <w:num w:numId="34" w16cid:durableId="1405879234">
    <w:abstractNumId w:val="14"/>
  </w:num>
  <w:num w:numId="35" w16cid:durableId="1221095569">
    <w:abstractNumId w:val="34"/>
  </w:num>
  <w:num w:numId="36" w16cid:durableId="759450845">
    <w:abstractNumId w:val="24"/>
  </w:num>
  <w:num w:numId="37" w16cid:durableId="869100768">
    <w:abstractNumId w:val="1"/>
  </w:num>
  <w:num w:numId="38" w16cid:durableId="505630791">
    <w:abstractNumId w:val="12"/>
  </w:num>
  <w:num w:numId="39" w16cid:durableId="1763648156">
    <w:abstractNumId w:val="8"/>
  </w:num>
  <w:num w:numId="40" w16cid:durableId="544607842">
    <w:abstractNumId w:val="23"/>
  </w:num>
  <w:num w:numId="41" w16cid:durableId="71342568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12787"/>
    <w:rsid w:val="000263CC"/>
    <w:rsid w:val="0003043D"/>
    <w:rsid w:val="000513A1"/>
    <w:rsid w:val="00077679"/>
    <w:rsid w:val="000854B9"/>
    <w:rsid w:val="00085B6A"/>
    <w:rsid w:val="000905B2"/>
    <w:rsid w:val="000A3744"/>
    <w:rsid w:val="000B20E3"/>
    <w:rsid w:val="000C2E76"/>
    <w:rsid w:val="000E6E7E"/>
    <w:rsid w:val="000F5057"/>
    <w:rsid w:val="000F6515"/>
    <w:rsid w:val="00134C85"/>
    <w:rsid w:val="001537E9"/>
    <w:rsid w:val="001803A8"/>
    <w:rsid w:val="001D20DB"/>
    <w:rsid w:val="001E51ED"/>
    <w:rsid w:val="001F54EA"/>
    <w:rsid w:val="00230B27"/>
    <w:rsid w:val="00246867"/>
    <w:rsid w:val="00290EE2"/>
    <w:rsid w:val="002D330A"/>
    <w:rsid w:val="002D3698"/>
    <w:rsid w:val="002D436B"/>
    <w:rsid w:val="002F25AC"/>
    <w:rsid w:val="00305990"/>
    <w:rsid w:val="00330D2C"/>
    <w:rsid w:val="00370561"/>
    <w:rsid w:val="00374D9B"/>
    <w:rsid w:val="00376F42"/>
    <w:rsid w:val="003850EC"/>
    <w:rsid w:val="0039693E"/>
    <w:rsid w:val="003970FD"/>
    <w:rsid w:val="0040380D"/>
    <w:rsid w:val="004065DD"/>
    <w:rsid w:val="0041197F"/>
    <w:rsid w:val="00423FA0"/>
    <w:rsid w:val="00441477"/>
    <w:rsid w:val="0044264E"/>
    <w:rsid w:val="00447D9B"/>
    <w:rsid w:val="00451A1D"/>
    <w:rsid w:val="00461A7E"/>
    <w:rsid w:val="00487414"/>
    <w:rsid w:val="004935CA"/>
    <w:rsid w:val="004B45E4"/>
    <w:rsid w:val="004D3CC1"/>
    <w:rsid w:val="004D55CB"/>
    <w:rsid w:val="004D7883"/>
    <w:rsid w:val="004D79C8"/>
    <w:rsid w:val="00502501"/>
    <w:rsid w:val="0052185D"/>
    <w:rsid w:val="00535B8B"/>
    <w:rsid w:val="005611F8"/>
    <w:rsid w:val="00565F68"/>
    <w:rsid w:val="00567107"/>
    <w:rsid w:val="005A412C"/>
    <w:rsid w:val="005C1604"/>
    <w:rsid w:val="005D2292"/>
    <w:rsid w:val="005D4E9F"/>
    <w:rsid w:val="00600DEF"/>
    <w:rsid w:val="00603552"/>
    <w:rsid w:val="006068F5"/>
    <w:rsid w:val="00614D90"/>
    <w:rsid w:val="00623E52"/>
    <w:rsid w:val="00623E9B"/>
    <w:rsid w:val="00640E62"/>
    <w:rsid w:val="0064183D"/>
    <w:rsid w:val="00671F20"/>
    <w:rsid w:val="00676A64"/>
    <w:rsid w:val="006D226E"/>
    <w:rsid w:val="006D5B80"/>
    <w:rsid w:val="00715281"/>
    <w:rsid w:val="007327F1"/>
    <w:rsid w:val="00735A13"/>
    <w:rsid w:val="00755F49"/>
    <w:rsid w:val="00756E91"/>
    <w:rsid w:val="0076121C"/>
    <w:rsid w:val="0076460C"/>
    <w:rsid w:val="00793BA1"/>
    <w:rsid w:val="007A4C79"/>
    <w:rsid w:val="007C1CD4"/>
    <w:rsid w:val="007E1A12"/>
    <w:rsid w:val="007E2834"/>
    <w:rsid w:val="007E5DD9"/>
    <w:rsid w:val="007F1F44"/>
    <w:rsid w:val="00805D1B"/>
    <w:rsid w:val="00814436"/>
    <w:rsid w:val="00821C09"/>
    <w:rsid w:val="00834DC8"/>
    <w:rsid w:val="00847EF6"/>
    <w:rsid w:val="0085353D"/>
    <w:rsid w:val="008613BB"/>
    <w:rsid w:val="00866E71"/>
    <w:rsid w:val="008816E7"/>
    <w:rsid w:val="008B0FD5"/>
    <w:rsid w:val="008E0D92"/>
    <w:rsid w:val="008E1167"/>
    <w:rsid w:val="008F2867"/>
    <w:rsid w:val="00916C05"/>
    <w:rsid w:val="009518D7"/>
    <w:rsid w:val="0095714A"/>
    <w:rsid w:val="009861AB"/>
    <w:rsid w:val="00986983"/>
    <w:rsid w:val="00991E5A"/>
    <w:rsid w:val="0099511C"/>
    <w:rsid w:val="009C0634"/>
    <w:rsid w:val="00A0661E"/>
    <w:rsid w:val="00A07BBD"/>
    <w:rsid w:val="00A11A8C"/>
    <w:rsid w:val="00A46EC1"/>
    <w:rsid w:val="00A702FB"/>
    <w:rsid w:val="00A949FE"/>
    <w:rsid w:val="00AA5980"/>
    <w:rsid w:val="00AB7B62"/>
    <w:rsid w:val="00AD6DEE"/>
    <w:rsid w:val="00AE2C6C"/>
    <w:rsid w:val="00AE75F0"/>
    <w:rsid w:val="00B03067"/>
    <w:rsid w:val="00B517BC"/>
    <w:rsid w:val="00B52DD2"/>
    <w:rsid w:val="00B90292"/>
    <w:rsid w:val="00BD197D"/>
    <w:rsid w:val="00BD21AF"/>
    <w:rsid w:val="00C019A5"/>
    <w:rsid w:val="00C1010B"/>
    <w:rsid w:val="00C261F2"/>
    <w:rsid w:val="00C4676A"/>
    <w:rsid w:val="00C64BBB"/>
    <w:rsid w:val="00C833B7"/>
    <w:rsid w:val="00D12E17"/>
    <w:rsid w:val="00D21FD1"/>
    <w:rsid w:val="00D269F4"/>
    <w:rsid w:val="00D56D5A"/>
    <w:rsid w:val="00D63BE3"/>
    <w:rsid w:val="00D67678"/>
    <w:rsid w:val="00D86FE1"/>
    <w:rsid w:val="00D90040"/>
    <w:rsid w:val="00DC7E96"/>
    <w:rsid w:val="00DD0027"/>
    <w:rsid w:val="00DD169C"/>
    <w:rsid w:val="00DD3D62"/>
    <w:rsid w:val="00DD5544"/>
    <w:rsid w:val="00DE625B"/>
    <w:rsid w:val="00DE69B0"/>
    <w:rsid w:val="00DF30A2"/>
    <w:rsid w:val="00DF5CBF"/>
    <w:rsid w:val="00E02438"/>
    <w:rsid w:val="00E03E24"/>
    <w:rsid w:val="00E203A6"/>
    <w:rsid w:val="00E5333A"/>
    <w:rsid w:val="00E67E08"/>
    <w:rsid w:val="00E84A47"/>
    <w:rsid w:val="00EA227F"/>
    <w:rsid w:val="00EB2813"/>
    <w:rsid w:val="00EC4E5D"/>
    <w:rsid w:val="00ED56E4"/>
    <w:rsid w:val="00F04034"/>
    <w:rsid w:val="00F23CBA"/>
    <w:rsid w:val="00F462FC"/>
    <w:rsid w:val="00F563EA"/>
    <w:rsid w:val="00F74DF4"/>
    <w:rsid w:val="00FE2FD1"/>
    <w:rsid w:val="00FE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D9B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spacing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89/feduc.2024.142823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3390/ijerph2110131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080/07448481.2022.2115305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victorcajala@outlook.com</cp:lastModifiedBy>
  <cp:revision>61</cp:revision>
  <cp:lastPrinted>2026-02-21T05:03:00Z</cp:lastPrinted>
  <dcterms:created xsi:type="dcterms:W3CDTF">2025-12-03T11:08:00Z</dcterms:created>
  <dcterms:modified xsi:type="dcterms:W3CDTF">2026-09-10T13:32:00Z</dcterms:modified>
</cp:coreProperties>
</file>