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F8A40" w14:textId="77777777" w:rsidR="00F238CC" w:rsidRPr="00252C0A" w:rsidRDefault="00F238CC" w:rsidP="00F238CC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252C0A">
        <w:rPr>
          <w:rFonts w:ascii="Arial Rounded MT Bold" w:hAnsi="Arial Rounded MT Bold"/>
          <w:b/>
          <w:bCs/>
        </w:rPr>
        <w:t>REFERENCES</w:t>
      </w:r>
    </w:p>
    <w:p w14:paraId="51379530" w14:textId="77777777" w:rsidR="00F238CC" w:rsidRPr="00252C0A" w:rsidRDefault="00F238CC" w:rsidP="00F238CC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5C632768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Abbas, M., &amp; Ali, R. (2023). Transformational versus transactional leadership styles and project success: A meta-analytic review. </w:t>
      </w:r>
      <w:r w:rsidRPr="00252C0A">
        <w:rPr>
          <w:rFonts w:ascii="Bahnschrift" w:hAnsi="Bahnschrift"/>
          <w:i/>
          <w:iCs/>
        </w:rPr>
        <w:t>European Management Journal, 41</w:t>
      </w:r>
      <w:r w:rsidRPr="00252C0A">
        <w:rPr>
          <w:rFonts w:ascii="Bahnschrift" w:hAnsi="Bahnschrift"/>
        </w:rPr>
        <w:t>(1), 125–142. https://doi.org/10.1016/j.emj.2021.10.011</w:t>
      </w:r>
    </w:p>
    <w:p w14:paraId="62EB99DF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37AD8BB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Ahmad, M., &amp; Wilkins, S. (2024). Purposive sampling in qualitative research: A framework for the entire journey. </w:t>
      </w:r>
      <w:r w:rsidRPr="00252C0A">
        <w:rPr>
          <w:rFonts w:ascii="Bahnschrift" w:hAnsi="Bahnschrift"/>
          <w:i/>
          <w:iCs/>
        </w:rPr>
        <w:t>Quality &amp; Quantity</w:t>
      </w:r>
      <w:r w:rsidRPr="00252C0A">
        <w:rPr>
          <w:rFonts w:ascii="Bahnschrift" w:hAnsi="Bahnschrift"/>
        </w:rPr>
        <w:t>. https://doi.org/10.1007/s11135-024-02022-5</w:t>
      </w:r>
    </w:p>
    <w:p w14:paraId="1AD933CF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9A556AE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Braun, V., &amp; Clarke, V. (2022). </w:t>
      </w:r>
      <w:r w:rsidRPr="00252C0A">
        <w:rPr>
          <w:rFonts w:ascii="Bahnschrift" w:hAnsi="Bahnschrift"/>
          <w:i/>
          <w:iCs/>
        </w:rPr>
        <w:t>Thematic analysis: A practical guide</w:t>
      </w:r>
      <w:r w:rsidRPr="00252C0A">
        <w:rPr>
          <w:rFonts w:ascii="Bahnschrift" w:hAnsi="Bahnschrift"/>
        </w:rPr>
        <w:t>. SAGE Publications.</w:t>
      </w:r>
    </w:p>
    <w:p w14:paraId="76FB19D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A1A4124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Build Quotient AEC Training Institute. (2024, September 6). </w:t>
      </w:r>
      <w:r w:rsidRPr="00252C0A">
        <w:rPr>
          <w:rFonts w:ascii="Bahnschrift" w:hAnsi="Bahnschrift"/>
          <w:i/>
          <w:iCs/>
        </w:rPr>
        <w:t>Bridging the skills gap in the Philippine construction industry</w:t>
      </w:r>
      <w:r w:rsidRPr="00252C0A">
        <w:rPr>
          <w:rFonts w:ascii="Bahnschrift" w:hAnsi="Bahnschrift"/>
        </w:rPr>
        <w:t>. Build Quotient AEC Training Institute. https://www.buildquotientph.com/blog/bridging-the-skills-gap-in-the-philippine-construction-industry</w:t>
      </w:r>
    </w:p>
    <w:p w14:paraId="7C41D03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3DE2C39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Commission on Higher Education. (2017). </w:t>
      </w:r>
      <w:r w:rsidRPr="00252C0A">
        <w:rPr>
          <w:rFonts w:ascii="Bahnschrift" w:hAnsi="Bahnschrift"/>
          <w:i/>
          <w:iCs/>
        </w:rPr>
        <w:t>Policies, standards, and guidelines for the Bachelor of Science in Architecture (BSArch) program</w:t>
      </w:r>
      <w:r w:rsidRPr="00252C0A">
        <w:rPr>
          <w:rFonts w:ascii="Bahnschrift" w:hAnsi="Bahnschrift"/>
        </w:rPr>
        <w:t xml:space="preserve"> (CHED Memorandum Order No. 61, Series of 2017). https://ched.gov.ph/cmo-61-s-2017/</w:t>
      </w:r>
    </w:p>
    <w:p w14:paraId="7D533097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B7BFF4C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Construction Industry Authority of the Philippines. (n.d.). </w:t>
      </w:r>
      <w:r w:rsidRPr="00252C0A">
        <w:rPr>
          <w:rFonts w:ascii="Bahnschrift" w:hAnsi="Bahnschrift"/>
          <w:i/>
          <w:iCs/>
        </w:rPr>
        <w:t>Productivity training development program</w:t>
      </w:r>
      <w:r w:rsidRPr="00252C0A">
        <w:rPr>
          <w:rFonts w:ascii="Bahnschrift" w:hAnsi="Bahnschrift"/>
        </w:rPr>
        <w:t>. http://construction.gov.ph/program_and_services/productivity-training-development-program/</w:t>
      </w:r>
    </w:p>
    <w:p w14:paraId="5EFDFCEB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0DCBC61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Construction Industry Authority of the Philippines. (2019). </w:t>
      </w:r>
      <w:r w:rsidRPr="00252C0A">
        <w:rPr>
          <w:rFonts w:ascii="Bahnschrift" w:hAnsi="Bahnschrift"/>
          <w:i/>
          <w:iCs/>
        </w:rPr>
        <w:t>Philippine Construction Industry Roadmap 2020–2030: Action plan</w:t>
      </w:r>
      <w:r w:rsidRPr="00252C0A">
        <w:rPr>
          <w:rFonts w:ascii="Bahnschrift" w:hAnsi="Bahnschrift"/>
        </w:rPr>
        <w:t>. http://construction.gov.ph/wp-content/uploads/2022/07/18-PCIR-Action-Plans.pdf</w:t>
      </w:r>
    </w:p>
    <w:p w14:paraId="3F33BC7D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ED2ECC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CO-Academy. (2024, January 11). </w:t>
      </w:r>
      <w:r w:rsidRPr="00252C0A">
        <w:rPr>
          <w:rFonts w:ascii="Bahnschrift" w:hAnsi="Bahnschrift"/>
          <w:i/>
          <w:iCs/>
        </w:rPr>
        <w:t>Bridging the gap with work-ready graduates in architecture and design</w:t>
      </w:r>
      <w:r w:rsidRPr="00252C0A">
        <w:rPr>
          <w:rFonts w:ascii="Bahnschrift" w:hAnsi="Bahnschrift"/>
        </w:rPr>
        <w:t>. CO-Architecture. https://site.co-architecture.com/news/bridging-the-gap-with-work-ready-graduates-in-architecture-and-design/</w:t>
      </w:r>
    </w:p>
    <w:p w14:paraId="3CD2D202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ECF5B48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Coutinho, S. A., Thomas, G., &amp; McCallum, F. (2024). Unskilled and unaware: The role of second-order judgments in the Dunning–Kruger effect. </w:t>
      </w:r>
      <w:r w:rsidRPr="00252C0A">
        <w:rPr>
          <w:rFonts w:ascii="Bahnschrift" w:hAnsi="Bahnschrift"/>
          <w:i/>
          <w:iCs/>
        </w:rPr>
        <w:t>Frontiers in Psychology, 15</w:t>
      </w:r>
      <w:r w:rsidRPr="00252C0A">
        <w:rPr>
          <w:rFonts w:ascii="Bahnschrift" w:hAnsi="Bahnschrift"/>
        </w:rPr>
        <w:t>, 1252520. https://www.frontiersin.org/articles/10.3389/fpsyg.2024.1252520/full</w:t>
      </w:r>
    </w:p>
    <w:p w14:paraId="73EDE11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7E082ED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Creswell, J. W. (2022). </w:t>
      </w:r>
      <w:r w:rsidRPr="00252C0A">
        <w:rPr>
          <w:rFonts w:ascii="Bahnschrift" w:hAnsi="Bahnschrift"/>
          <w:i/>
          <w:iCs/>
        </w:rPr>
        <w:t>Educational research: Planning, conducting, and evaluating quantitative and qualitative research</w:t>
      </w:r>
      <w:r w:rsidRPr="00252C0A">
        <w:rPr>
          <w:rFonts w:ascii="Bahnschrift" w:hAnsi="Bahnschrift"/>
        </w:rPr>
        <w:t xml:space="preserve"> (6th ed.). Pearson.</w:t>
      </w:r>
    </w:p>
    <w:p w14:paraId="4B0B7CA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2BA52F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Creswell, J. W. &amp; Creswell, J. D. (2023). </w:t>
      </w:r>
      <w:r w:rsidRPr="00252C0A">
        <w:rPr>
          <w:rFonts w:ascii="Bahnschrift" w:hAnsi="Bahnschrift"/>
          <w:i/>
          <w:iCs/>
        </w:rPr>
        <w:t xml:space="preserve">Research design: Qualitative, quantitative, and mixed methods approaches </w:t>
      </w:r>
      <w:r w:rsidRPr="00252C0A">
        <w:rPr>
          <w:rFonts w:ascii="Bahnschrift" w:hAnsi="Bahnschrift"/>
        </w:rPr>
        <w:t>(6th ed.). SAGE Publications.</w:t>
      </w:r>
    </w:p>
    <w:p w14:paraId="110C781D" w14:textId="77777777" w:rsidR="00F238CC" w:rsidRPr="00252C0A" w:rsidRDefault="00F238CC" w:rsidP="00F238CC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2668A97C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Daryono, R. W., Hidayat, N., Nurtanto, M., &amp; Fu’adi, A. (2024). The Development of a Competency Framework for Architectural Engineering Graduates: Perspectives by the Construction Industry in Indonesia. </w:t>
      </w:r>
      <w:r w:rsidRPr="00252C0A">
        <w:rPr>
          <w:rFonts w:ascii="Bahnschrift" w:hAnsi="Bahnschrift"/>
          <w:i/>
          <w:iCs/>
        </w:rPr>
        <w:t>Journal of Technology and Science Education, 14</w:t>
      </w:r>
      <w:r w:rsidRPr="00252C0A">
        <w:rPr>
          <w:rFonts w:ascii="Bahnschrift" w:hAnsi="Bahnschrift"/>
        </w:rPr>
        <w:t>(2), 274–290. https://doi.org/10.3926/jotse.1986</w:t>
      </w:r>
    </w:p>
    <w:p w14:paraId="183AAF5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E64BC4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Estacio, D., &amp; Carlos-Manuel, J. (2021). Bachelor of Science in Architecture graduates of 2018 to 2020 in Bulacan State University, Malolos City, Bulacan: An employability tracer </w:t>
      </w:r>
      <w:r w:rsidRPr="00252C0A">
        <w:rPr>
          <w:rFonts w:ascii="Bahnschrift" w:hAnsi="Bahnschrift"/>
        </w:rPr>
        <w:lastRenderedPageBreak/>
        <w:t xml:space="preserve">study. </w:t>
      </w:r>
      <w:r w:rsidRPr="00252C0A">
        <w:rPr>
          <w:rFonts w:ascii="Bahnschrift" w:hAnsi="Bahnschrift"/>
          <w:i/>
          <w:iCs/>
        </w:rPr>
        <w:t>International Journal of Research and Analytical Review (IJ RAR), 8</w:t>
      </w:r>
      <w:r w:rsidRPr="00252C0A">
        <w:rPr>
          <w:rFonts w:ascii="Bahnschrift" w:hAnsi="Bahnschrift"/>
        </w:rPr>
        <w:t xml:space="preserve"> (3) https://www.researchgate.net/publication/354860129</w:t>
      </w:r>
    </w:p>
    <w:p w14:paraId="1996A677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37CD415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Geng, L., Ma, M., Osei-Kyei, R., Jin, X., &amp; Shrestha, S. (2025). A review of employability skills for graduates in the construction sector. </w:t>
      </w:r>
      <w:r w:rsidRPr="00252C0A">
        <w:rPr>
          <w:rFonts w:ascii="Bahnschrift" w:hAnsi="Bahnschrift"/>
          <w:i/>
          <w:iCs/>
        </w:rPr>
        <w:t>Higher Education, Skills and Work-Based Learning, 15</w:t>
      </w:r>
      <w:r w:rsidRPr="00252C0A">
        <w:rPr>
          <w:rFonts w:ascii="Bahnschrift" w:hAnsi="Bahnschrift"/>
        </w:rPr>
        <w:t>(7), 153–170. https://doi.org/10.1108/HESWBL-08-2024-0242</w:t>
      </w:r>
    </w:p>
    <w:p w14:paraId="26E113F4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3C747D1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Ginigaddara, B., Perera, S., &amp; Feng, Y., Rahnamayiezekavat, P., &amp; Kagioglou, M. (2024). Industry 4.0 driven emerging skills of offsite construction: A multi-case study-based analysis. </w:t>
      </w:r>
      <w:r w:rsidRPr="00252C0A">
        <w:rPr>
          <w:rFonts w:ascii="Bahnschrift" w:hAnsi="Bahnschrift"/>
          <w:i/>
          <w:iCs/>
        </w:rPr>
        <w:t>Construction Innovation, 24</w:t>
      </w:r>
      <w:r w:rsidRPr="00252C0A">
        <w:rPr>
          <w:rFonts w:ascii="Bahnschrift" w:hAnsi="Bahnschrift"/>
        </w:rPr>
        <w:t>(3), 747-769. https://doi.org/10.1108/CI-04-2022-0081</w:t>
      </w:r>
    </w:p>
    <w:p w14:paraId="2F1ADE0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4C4F98E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Jerome, E., &amp; Maulik, S. (2024). An exploratory study to discover the academia-practice gap in the field of architectural design in India. In </w:t>
      </w:r>
      <w:r w:rsidRPr="00252C0A">
        <w:rPr>
          <w:rFonts w:ascii="Bahnschrift" w:hAnsi="Bahnschrift"/>
          <w:i/>
          <w:iCs/>
        </w:rPr>
        <w:t>Futuring Design Education</w:t>
      </w:r>
      <w:r w:rsidRPr="00252C0A">
        <w:rPr>
          <w:rFonts w:ascii="Bahnschrift" w:hAnsi="Bahnschrift"/>
        </w:rPr>
        <w:t xml:space="preserve"> (pp. 21). Springer, Singapore. https://doi.org/10.1007/978-981-97-9206-1_21</w:t>
      </w:r>
    </w:p>
    <w:p w14:paraId="03A680D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5A9CA84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Jokanovic Dajic, M., Ciric Lalic, D., Vujicic, M., Stankov, U., Petrovic, M., &amp; Duric, Z. (2024). Development and validation of the project manager skills scale (PMSS): An empirical approach. </w:t>
      </w:r>
      <w:r w:rsidRPr="00252C0A">
        <w:rPr>
          <w:rFonts w:ascii="Bahnschrift" w:hAnsi="Bahnschrift"/>
          <w:i/>
          <w:iCs/>
        </w:rPr>
        <w:t>Heliyon, 10</w:t>
      </w:r>
      <w:r w:rsidRPr="00252C0A">
        <w:rPr>
          <w:rFonts w:ascii="Bahnschrift" w:hAnsi="Bahnschrift"/>
        </w:rPr>
        <w:t>(3), e25055. https://doi.org/10.1016/j.heliyon.2024.e25055</w:t>
      </w:r>
    </w:p>
    <w:p w14:paraId="7DCB00F1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FF01954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Kohale, N., Kini, P., Mohammed, C., Sankar, J. P., Dwijendra, N. K. A., &amp; Abdullah, F. (2024). </w:t>
      </w:r>
      <w:r w:rsidRPr="00252C0A">
        <w:rPr>
          <w:rFonts w:ascii="Bahnschrift" w:hAnsi="Bahnschrift"/>
          <w:i/>
          <w:iCs/>
        </w:rPr>
        <w:t>Relevance of competency-based education for architectural education in India</w:t>
      </w:r>
      <w:r w:rsidRPr="00252C0A">
        <w:rPr>
          <w:rFonts w:ascii="Bahnschrift" w:hAnsi="Bahnschrift"/>
        </w:rPr>
        <w:t xml:space="preserve">. F1000Research. </w:t>
      </w:r>
      <w:hyperlink r:id="rId7" w:history="1">
        <w:r w:rsidRPr="00252C0A">
          <w:rPr>
            <w:rStyle w:val="Hyperlink"/>
            <w:rFonts w:ascii="Bahnschrift" w:hAnsi="Bahnschrift"/>
            <w:color w:val="auto"/>
            <w:u w:val="none"/>
          </w:rPr>
          <w:t>https://doi.org/10.12688/f1000research.148617.2</w:t>
        </w:r>
      </w:hyperlink>
    </w:p>
    <w:p w14:paraId="6908AE6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D17FEF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Kusmaryono, I., Wijayani, D., &amp; Maharani, H. R. (2022).  Number of response options, reliability, validity, and potential bias in the use of Likert scale education and social science research:  A literature review.  International Journal of Educational Methodology, </w:t>
      </w:r>
      <w:r w:rsidRPr="00252C0A">
        <w:rPr>
          <w:rFonts w:ascii="Bahnschrift" w:hAnsi="Bahnschrift"/>
          <w:i/>
          <w:iCs/>
          <w:kern w:val="0"/>
          <w14:ligatures w14:val="none"/>
        </w:rPr>
        <w:t>8</w:t>
      </w:r>
      <w:r w:rsidRPr="00252C0A">
        <w:rPr>
          <w:rFonts w:ascii="Bahnschrift" w:hAnsi="Bahnschrift"/>
          <w:kern w:val="0"/>
          <w14:ligatures w14:val="none"/>
        </w:rPr>
        <w:t>(4), 625–637. https://doi.org/10.12973/ijem.8.4.625</w:t>
      </w:r>
    </w:p>
    <w:p w14:paraId="6C9BFC46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72A076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Mari, E. A., Malabed, E., &amp; Corpuz, A. (2022). Employability of architecture graduates: Bridging the gap between academic preparation and employer expectations. </w:t>
      </w:r>
      <w:r w:rsidRPr="00252C0A">
        <w:rPr>
          <w:rFonts w:ascii="Bahnschrift" w:hAnsi="Bahnschrift"/>
          <w:i/>
          <w:iCs/>
        </w:rPr>
        <w:t>Asia Pacific Journal of Education, Arts and Sciences, 9</w:t>
      </w:r>
      <w:r w:rsidRPr="00252C0A">
        <w:rPr>
          <w:rFonts w:ascii="Bahnschrift" w:hAnsi="Bahnschrift"/>
        </w:rPr>
        <w:t>(1), 45–52.</w:t>
      </w:r>
    </w:p>
    <w:p w14:paraId="626A217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C932E39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Manoharan, K., Dissanayake, P. B. G., Pathirana, C., Deegahawature, D., &amp; Silva, K. D. R. R. (2022). A curriculum guide model to the next normal in developing construction supervisory training programmes. </w:t>
      </w:r>
      <w:r w:rsidRPr="00252C0A">
        <w:rPr>
          <w:rFonts w:ascii="Bahnschrift" w:hAnsi="Bahnschrift"/>
          <w:i/>
          <w:iCs/>
        </w:rPr>
        <w:t>Built Environment Project and Asset Management, 12</w:t>
      </w:r>
      <w:r w:rsidRPr="00252C0A">
        <w:rPr>
          <w:rFonts w:ascii="Bahnschrift" w:hAnsi="Bahnschrift"/>
        </w:rPr>
        <w:t>(5), 792–822. https://doi.org/10.1108/BEPAM-10-2021-0172</w:t>
      </w:r>
    </w:p>
    <w:p w14:paraId="5560FF92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5396D18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Manoharan, K., Dissanayake, P., Pathirana, C., Deegahawature, D., &amp; Silva, R. (2023). A competency-based training guide model for labourers in construction. </w:t>
      </w:r>
      <w:r w:rsidRPr="00252C0A">
        <w:rPr>
          <w:rFonts w:ascii="Bahnschrift" w:hAnsi="Bahnschrift"/>
          <w:i/>
          <w:iCs/>
        </w:rPr>
        <w:t>International Journal of Construction Management, 23</w:t>
      </w:r>
      <w:r w:rsidRPr="00252C0A">
        <w:rPr>
          <w:rFonts w:ascii="Bahnschrift" w:hAnsi="Bahnschrift"/>
        </w:rPr>
        <w:t>(8), 1323–1333. https://doi.org/10.1080/15623599.2021.1974963</w:t>
      </w:r>
    </w:p>
    <w:p w14:paraId="071AD829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BE35757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Manoharan, K., Dissanayake, P., Pathirana, C., Deegahawature, D., &amp; Silva, R. (2024). Assessing the performance and productivity of labour in building construction projects through the application of work-based training practices. </w:t>
      </w:r>
      <w:r w:rsidRPr="00252C0A">
        <w:rPr>
          <w:rFonts w:ascii="Bahnschrift" w:hAnsi="Bahnschrift"/>
          <w:i/>
          <w:iCs/>
        </w:rPr>
        <w:t>Construction Innovation, 24(2)</w:t>
      </w:r>
      <w:r w:rsidRPr="00252C0A">
        <w:rPr>
          <w:rFonts w:ascii="Bahnschrift" w:hAnsi="Bahnschrift"/>
        </w:rPr>
        <w:t>, 558-583 https://doi.org/10.1108/CI-05-2022-0126</w:t>
      </w:r>
    </w:p>
    <w:p w14:paraId="4B9A7228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F1A424B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Monteverde, R. P., Mejia, I. P., Dasas, L. B., Bazer, S. C., Garcia, C. M. S., &amp; Aquino, C. S. (2025). </w:t>
      </w:r>
      <w:r w:rsidRPr="00252C0A">
        <w:rPr>
          <w:rFonts w:ascii="Bahnschrift" w:hAnsi="Bahnschrift"/>
          <w:i/>
          <w:iCs/>
        </w:rPr>
        <w:t xml:space="preserve">Assessing the current and future middle skills in the Philippines: Inputs for policy </w:t>
      </w:r>
      <w:r w:rsidRPr="00252C0A">
        <w:rPr>
          <w:rFonts w:ascii="Bahnschrift" w:hAnsi="Bahnschrift"/>
          <w:i/>
          <w:iCs/>
        </w:rPr>
        <w:lastRenderedPageBreak/>
        <w:t xml:space="preserve">agenda </w:t>
      </w:r>
      <w:r w:rsidRPr="00252C0A">
        <w:rPr>
          <w:rFonts w:ascii="Bahnschrift" w:hAnsi="Bahnschrift"/>
        </w:rPr>
        <w:t>(PIDS Discussion Paper Series No. 2025-22). Philippine Institute for Development Studies. https://www.pids.gov.ph/publication/discussion-papers/assessing-the-current-and-future-middle-skills-in-the-philippines-inputs-for-policy-agenda</w:t>
      </w:r>
    </w:p>
    <w:p w14:paraId="2D6E285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60D62A5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National Association of Colleges and Employers. (2025). </w:t>
      </w:r>
      <w:r w:rsidRPr="00252C0A">
        <w:rPr>
          <w:rFonts w:ascii="Bahnschrift" w:hAnsi="Bahnschrift"/>
          <w:i/>
          <w:iCs/>
        </w:rPr>
        <w:t>The gap in perceptions of new grads' competency proficiency and resources to shrink it</w:t>
      </w:r>
      <w:r w:rsidRPr="00252C0A">
        <w:rPr>
          <w:rFonts w:ascii="Bahnschrift" w:hAnsi="Bahnschrift"/>
        </w:rPr>
        <w:t>. https://www.naceweb.org/career-readiness/competencies/the-gap-in-perceptions-of-new-grads-competency-proficiency-and-resources-to-shrink-it</w:t>
      </w:r>
    </w:p>
    <w:p w14:paraId="7A8E4F1F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07E49C7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National Council of Architectural Registration Boards. (2025). </w:t>
      </w:r>
      <w:r w:rsidRPr="00252C0A">
        <w:rPr>
          <w:rFonts w:ascii="Bahnschrift" w:hAnsi="Bahnschrift"/>
          <w:i/>
          <w:iCs/>
        </w:rPr>
        <w:t>NCARB by the numbers: 2025 edition</w:t>
      </w:r>
      <w:r w:rsidRPr="00252C0A">
        <w:rPr>
          <w:rFonts w:ascii="Bahnschrift" w:hAnsi="Bahnschrift"/>
        </w:rPr>
        <w:t>. https://www.ncarb.org/sites/default/files/NBTN-2025.pdf</w:t>
      </w:r>
    </w:p>
    <w:p w14:paraId="47E1385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63AAA9C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National Economic and Development Authority. (2023). </w:t>
      </w:r>
      <w:r w:rsidRPr="00252C0A">
        <w:rPr>
          <w:rFonts w:ascii="Bahnschrift" w:hAnsi="Bahnschrift"/>
          <w:i/>
          <w:iCs/>
        </w:rPr>
        <w:t>Philippine Development Plan 2023–2028: Agenda for prosperity</w:t>
      </w:r>
      <w:r w:rsidRPr="00252C0A">
        <w:rPr>
          <w:rFonts w:ascii="Bahnschrift" w:hAnsi="Bahnschrift"/>
        </w:rPr>
        <w:t>. NEDA. https://pdp.neda.gov.ph</w:t>
      </w:r>
    </w:p>
    <w:p w14:paraId="33AFF01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F99D4B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>Owais, O. A., Poshdar, M., Ying, F., GhaffarianHoseini, A., &amp; Jaafar, K. (2025). Evolving project manager competencies in the dynamic construction industry: A comprehensive framework for success. In M. Sutrisna et al. (Eds.), Creating capacity and capability: Embracing advanced technologies and innovations for sustainable future in building education and practice (</w:t>
      </w:r>
      <w:r w:rsidRPr="00252C0A">
        <w:rPr>
          <w:rFonts w:ascii="Bahnschrift" w:hAnsi="Bahnschrift"/>
          <w:i/>
          <w:iCs/>
        </w:rPr>
        <w:t>Lecture Notes in Civil Engineering, Vol. 562</w:t>
      </w:r>
      <w:r w:rsidRPr="00252C0A">
        <w:rPr>
          <w:rFonts w:ascii="Bahnschrift" w:hAnsi="Bahnschrift"/>
        </w:rPr>
        <w:t>). Springer. https://doi.org/10.1007/978-981-96-1181-2_14</w:t>
      </w:r>
    </w:p>
    <w:p w14:paraId="4B82DCE1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6608092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Ozsoy, T., &amp; Sezgili, K. (2024). Exploring the current practices and future directions in project management education and training. </w:t>
      </w:r>
      <w:r w:rsidRPr="00252C0A">
        <w:rPr>
          <w:rFonts w:ascii="Bahnschrift" w:hAnsi="Bahnschrift"/>
          <w:i/>
          <w:iCs/>
        </w:rPr>
        <w:t>SAGE Open, 14</w:t>
      </w:r>
      <w:r w:rsidRPr="00252C0A">
        <w:rPr>
          <w:rFonts w:ascii="Bahnschrift" w:hAnsi="Bahnschrift"/>
        </w:rPr>
        <w:t>(1). https://doi.org/10.1177/21582440241236053</w:t>
      </w:r>
    </w:p>
    <w:p w14:paraId="6F31634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4B9F5D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Pariafsai, F., &amp; Behzadan, A. H. (2021). Core competencies for construction project management: Literature review and content analysis. </w:t>
      </w:r>
      <w:r w:rsidRPr="00252C0A">
        <w:rPr>
          <w:rFonts w:ascii="Bahnschrift" w:hAnsi="Bahnschrift"/>
          <w:i/>
          <w:iCs/>
        </w:rPr>
        <w:t>Journal of Civil Engineering Education, 147</w:t>
      </w:r>
      <w:r w:rsidRPr="00252C0A">
        <w:rPr>
          <w:rFonts w:ascii="Bahnschrift" w:hAnsi="Bahnschrift"/>
        </w:rPr>
        <w:t>(4), Article 04021010. https://doi.org/10.1061/(ASCE)EI.2643-9115.0000051</w:t>
      </w:r>
    </w:p>
    <w:p w14:paraId="7D19976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9D2BAF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Pathuri, R. T., Killingsworth, J., &amp; Mehany, M. S. H. M. (2022). Knowledge, Skills, and Abilities for Senior-Level Construction Managers: A U.S. Industry-Based Delphi Study. </w:t>
      </w:r>
      <w:r w:rsidRPr="00252C0A">
        <w:rPr>
          <w:rFonts w:ascii="Bahnschrift" w:hAnsi="Bahnschrift"/>
          <w:i/>
          <w:iCs/>
        </w:rPr>
        <w:t>International Journal of Construction Education and Research, 18</w:t>
      </w:r>
      <w:r w:rsidRPr="00252C0A">
        <w:rPr>
          <w:rFonts w:ascii="Bahnschrift" w:hAnsi="Bahnschrift"/>
        </w:rPr>
        <w:t>(3), 234–250. https://doi.org/10.1080/15578771.2020.1861136</w:t>
      </w:r>
    </w:p>
    <w:p w14:paraId="045A65B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AFD509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Philippine Resources Journal. (2024, June 26). </w:t>
      </w:r>
      <w:r w:rsidRPr="00252C0A">
        <w:rPr>
          <w:rFonts w:ascii="Bahnschrift" w:hAnsi="Bahnschrift"/>
          <w:i/>
          <w:iCs/>
        </w:rPr>
        <w:t>Challenges and outlook for the construction industry</w:t>
      </w:r>
      <w:r w:rsidRPr="00252C0A">
        <w:rPr>
          <w:rFonts w:ascii="Bahnschrift" w:hAnsi="Bahnschrift"/>
        </w:rPr>
        <w:t>. https://www.philippine-resources.com/articles/2024/6/challenges-and-outlook-for-the-construction-industry</w:t>
      </w:r>
    </w:p>
    <w:p w14:paraId="03085C7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2CEEA09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Professional Regulatory Board of Architecture. (2010). Standards of Professional Practice (SPP) Document 204-B: Construction management services. </w:t>
      </w:r>
      <w:r w:rsidRPr="00252C0A">
        <w:rPr>
          <w:rFonts w:ascii="Bahnschrift" w:hAnsi="Bahnschrift"/>
          <w:i/>
          <w:iCs/>
        </w:rPr>
        <w:t>Part of the Implementing Rules and Regulations of Republic Act No. 9266</w:t>
      </w:r>
      <w:r w:rsidRPr="00252C0A">
        <w:rPr>
          <w:rFonts w:ascii="Bahnschrift" w:hAnsi="Bahnschrift"/>
        </w:rPr>
        <w:t>. Professional Regulation Commission.</w:t>
      </w:r>
    </w:p>
    <w:p w14:paraId="06F541B4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9E64620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Project Management Institute. (2021). </w:t>
      </w:r>
      <w:r w:rsidRPr="00252C0A">
        <w:rPr>
          <w:rFonts w:ascii="Bahnschrift" w:hAnsi="Bahnschrift"/>
          <w:i/>
          <w:iCs/>
        </w:rPr>
        <w:t>A guide to the project management body of knowledge</w:t>
      </w:r>
      <w:r w:rsidRPr="00252C0A">
        <w:rPr>
          <w:rFonts w:ascii="Bahnschrift" w:hAnsi="Bahnschrift"/>
        </w:rPr>
        <w:t xml:space="preserve"> (PMBOK® guide) (7th ed.). Project Management Institute.</w:t>
      </w:r>
    </w:p>
    <w:p w14:paraId="621CE1C9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90EC3A6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Project Management Institute. (2025). </w:t>
      </w:r>
      <w:r w:rsidRPr="00252C0A">
        <w:rPr>
          <w:rFonts w:ascii="Bahnschrift" w:hAnsi="Bahnschrift"/>
          <w:i/>
          <w:iCs/>
        </w:rPr>
        <w:t>Pulse of the Profession® 2025: Boosting business acumen</w:t>
      </w:r>
      <w:r w:rsidRPr="00252C0A">
        <w:rPr>
          <w:rFonts w:ascii="Bahnschrift" w:hAnsi="Bahnschrift"/>
        </w:rPr>
        <w:t>. https://www.pmi.org/learning/thought-leadership/pulse</w:t>
      </w:r>
    </w:p>
    <w:p w14:paraId="167472CD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C64DE7E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Rajeev, G., &amp; Mohammad, A. K. (2022). Restructuring architectural education post COVID-19: Professional practice and construction industry expectations. </w:t>
      </w:r>
      <w:r w:rsidRPr="00252C0A">
        <w:rPr>
          <w:rFonts w:ascii="Bahnschrift" w:hAnsi="Bahnschrift"/>
          <w:i/>
          <w:iCs/>
        </w:rPr>
        <w:t>Architecture and Engineering, 7</w:t>
      </w:r>
      <w:r w:rsidRPr="00252C0A">
        <w:rPr>
          <w:rFonts w:ascii="Bahnschrift" w:hAnsi="Bahnschrift"/>
        </w:rPr>
        <w:t>(2), 29–41.</w:t>
      </w:r>
    </w:p>
    <w:p w14:paraId="14B84E36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D9D173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>Republic Act No. 9266, The Architecture Act of 2004, Congress of the Philippines. (2004). https://united-architects.org/publications/republic-act-no-9266/</w:t>
      </w:r>
    </w:p>
    <w:p w14:paraId="0E8FF877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43BA74D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Rodriguez, F. A. M. (2025). Bridging the gaps on architecture academic training and professional practice: A policy analysis on CHED CMO No. 61, series of 2017. </w:t>
      </w:r>
      <w:r w:rsidRPr="00252C0A">
        <w:rPr>
          <w:rFonts w:ascii="Bahnschrift" w:hAnsi="Bahnschrift"/>
          <w:i/>
          <w:iCs/>
        </w:rPr>
        <w:t>International Journal of Research Studies in Education, 14</w:t>
      </w:r>
      <w:r w:rsidRPr="00252C0A">
        <w:rPr>
          <w:rFonts w:ascii="Bahnschrift" w:hAnsi="Bahnschrift"/>
        </w:rPr>
        <w:t>(7). https://doi.org/10.5861/ijrse-2025-25241</w:t>
      </w:r>
    </w:p>
    <w:p w14:paraId="3F8E060C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68AC25E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Salimimoghadam, S., Ghanbaripour, A. N., Tumpa, R. J., &amp; Watanabe, T. (2025). Core leadership competencies of project managers for enhancing project success in today's fast-evolving world: A systematic literature review. </w:t>
      </w:r>
      <w:r w:rsidRPr="00252C0A">
        <w:rPr>
          <w:rFonts w:ascii="Bahnschrift" w:hAnsi="Bahnschrift"/>
          <w:i/>
          <w:iCs/>
        </w:rPr>
        <w:t>Smart and Sustainable Built Environment</w:t>
      </w:r>
      <w:r w:rsidRPr="00252C0A">
        <w:rPr>
          <w:rFonts w:ascii="Bahnschrift" w:hAnsi="Bahnschrift"/>
        </w:rPr>
        <w:t>. https://doi.org/10.1108/SASBE-09-2025-0546</w:t>
      </w:r>
    </w:p>
    <w:p w14:paraId="544F58F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3155DF1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>Sam, A., &amp; Aigbavboa, C. O. (2024). Influence of professional capabilities on leadership development in the Ghanaian construction industry. Int</w:t>
      </w:r>
      <w:r w:rsidRPr="00252C0A">
        <w:rPr>
          <w:rFonts w:ascii="Bahnschrift" w:hAnsi="Bahnschrift"/>
          <w:i/>
          <w:iCs/>
        </w:rPr>
        <w:t>ernational Journal of Innovation and Development, 2</w:t>
      </w:r>
      <w:r w:rsidRPr="00252C0A">
        <w:rPr>
          <w:rFonts w:ascii="Bahnschrift" w:hAnsi="Bahnschrift"/>
        </w:rPr>
        <w:t>(1). https://ijid.kstu.edu.gh/index.php/ijid/article/download/31/27/104</w:t>
      </w:r>
    </w:p>
    <w:p w14:paraId="65C1A856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163D784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Technical Education and Skills Development Authority. (2023). </w:t>
      </w:r>
      <w:r w:rsidRPr="00252C0A">
        <w:rPr>
          <w:rFonts w:ascii="Bahnschrift" w:hAnsi="Bahnschrift"/>
          <w:i/>
          <w:iCs/>
        </w:rPr>
        <w:t>National Technical Education and Skills Development Plan</w:t>
      </w:r>
      <w:r w:rsidRPr="00252C0A">
        <w:rPr>
          <w:rFonts w:ascii="Bahnschrift" w:hAnsi="Bahnschrift"/>
        </w:rPr>
        <w:t xml:space="preserve"> (NTESDP) 2023–2028. https://www.tesda.gov.ph/About/TESDA/47</w:t>
      </w:r>
    </w:p>
    <w:p w14:paraId="7E4FBF7C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47204C3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Tiew, S. Y. (2025a). Exploring the effectiveness of graduate architects in managing construction project delivery. </w:t>
      </w:r>
      <w:r w:rsidRPr="00252C0A">
        <w:rPr>
          <w:rFonts w:ascii="Bahnschrift" w:hAnsi="Bahnschrift"/>
          <w:i/>
          <w:iCs/>
        </w:rPr>
        <w:t>Engineering, Construction and Architectural Management</w:t>
      </w:r>
      <w:r w:rsidRPr="00252C0A">
        <w:rPr>
          <w:rFonts w:ascii="Bahnschrift" w:hAnsi="Bahnschrift"/>
        </w:rPr>
        <w:t>. https://doi.org/10.1108/ECAM-05-2025-0756</w:t>
      </w:r>
    </w:p>
    <w:p w14:paraId="352D8B7A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F4C8A9B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 xml:space="preserve">Tiew, S. Y. (2025b). Improving professional development through building contract administration (BCA) framework of housing projects for graduate architects. </w:t>
      </w:r>
      <w:r w:rsidRPr="00252C0A">
        <w:rPr>
          <w:rFonts w:ascii="Bahnschrift" w:hAnsi="Bahnschrift"/>
          <w:i/>
          <w:iCs/>
        </w:rPr>
        <w:t>Engineering, Construction and Architectural Management, 32</w:t>
      </w:r>
      <w:r w:rsidRPr="00252C0A">
        <w:rPr>
          <w:rFonts w:ascii="Bahnschrift" w:hAnsi="Bahnschrift"/>
        </w:rPr>
        <w:t>(8), 5272-5290. https://doi.org/10.1108/ECAM-01-2024-0101</w:t>
      </w:r>
    </w:p>
    <w:p w14:paraId="266E3A7F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DC6D9F9" w14:textId="77777777" w:rsidR="00F238CC" w:rsidRPr="00252C0A" w:rsidRDefault="00F238CC" w:rsidP="00F238C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252C0A">
        <w:rPr>
          <w:rFonts w:ascii="Bahnschrift" w:hAnsi="Bahnschrift"/>
        </w:rPr>
        <w:t>Wang, C., Song, L., &amp; Jiang, J. (2025). The impact of project-based learning on university physics education: Enhancing cognitive skills and core competencies</w:t>
      </w:r>
      <w:r w:rsidRPr="00252C0A">
        <w:rPr>
          <w:rFonts w:ascii="Bahnschrift" w:hAnsi="Bahnschrift"/>
          <w:i/>
          <w:iCs/>
        </w:rPr>
        <w:t>. Frontiers in Psychology, 16</w:t>
      </w:r>
      <w:r w:rsidRPr="00252C0A">
        <w:rPr>
          <w:rFonts w:ascii="Bahnschrift" w:hAnsi="Bahnschrift"/>
        </w:rPr>
        <w:t>, Article 1495105. https://doi.org/10.3389/fpsyg.2025.1495105</w:t>
      </w:r>
    </w:p>
    <w:p w14:paraId="4DD5A6E0" w14:textId="2AA5B4B1" w:rsidR="009A1CAC" w:rsidRPr="00802440" w:rsidRDefault="009A1CAC" w:rsidP="009A1CAC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9C03E" w14:textId="77777777" w:rsidR="00206B8F" w:rsidRDefault="00206B8F" w:rsidP="00290EE2">
      <w:pPr>
        <w:spacing w:after="0" w:line="240" w:lineRule="auto"/>
      </w:pPr>
      <w:r>
        <w:separator/>
      </w:r>
    </w:p>
  </w:endnote>
  <w:endnote w:type="continuationSeparator" w:id="0">
    <w:p w14:paraId="22FDD3A6" w14:textId="77777777" w:rsidR="00206B8F" w:rsidRDefault="00206B8F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80AA" w14:textId="77777777" w:rsidR="00206B8F" w:rsidRDefault="00206B8F" w:rsidP="00290EE2">
      <w:pPr>
        <w:spacing w:after="0" w:line="240" w:lineRule="auto"/>
      </w:pPr>
      <w:r>
        <w:separator/>
      </w:r>
    </w:p>
  </w:footnote>
  <w:footnote w:type="continuationSeparator" w:id="0">
    <w:p w14:paraId="2BB4527C" w14:textId="77777777" w:rsidR="00206B8F" w:rsidRDefault="00206B8F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B51B9"/>
    <w:rsid w:val="000C2E76"/>
    <w:rsid w:val="000D0E69"/>
    <w:rsid w:val="000F5057"/>
    <w:rsid w:val="001957A8"/>
    <w:rsid w:val="001F1FD0"/>
    <w:rsid w:val="001F54EA"/>
    <w:rsid w:val="001F5BD9"/>
    <w:rsid w:val="00206B8F"/>
    <w:rsid w:val="00211740"/>
    <w:rsid w:val="002171B2"/>
    <w:rsid w:val="00222ABA"/>
    <w:rsid w:val="00233803"/>
    <w:rsid w:val="00246867"/>
    <w:rsid w:val="00290EE2"/>
    <w:rsid w:val="00297A83"/>
    <w:rsid w:val="002D0592"/>
    <w:rsid w:val="002D3698"/>
    <w:rsid w:val="002E59CC"/>
    <w:rsid w:val="00330B9D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0255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C515B"/>
    <w:rsid w:val="007E1A12"/>
    <w:rsid w:val="00805115"/>
    <w:rsid w:val="00805D1B"/>
    <w:rsid w:val="00814436"/>
    <w:rsid w:val="00836DAB"/>
    <w:rsid w:val="00847EF6"/>
    <w:rsid w:val="00866E71"/>
    <w:rsid w:val="00870793"/>
    <w:rsid w:val="008753FF"/>
    <w:rsid w:val="0089128C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365A"/>
    <w:rsid w:val="0095714A"/>
    <w:rsid w:val="00991E5A"/>
    <w:rsid w:val="009A1CAC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A34CC"/>
    <w:rsid w:val="00DC7E96"/>
    <w:rsid w:val="00DD52A7"/>
    <w:rsid w:val="00DE0A41"/>
    <w:rsid w:val="00E00198"/>
    <w:rsid w:val="00E02438"/>
    <w:rsid w:val="00E1410E"/>
    <w:rsid w:val="00E441AA"/>
    <w:rsid w:val="00E5333A"/>
    <w:rsid w:val="00E5452F"/>
    <w:rsid w:val="00E82072"/>
    <w:rsid w:val="00E84A47"/>
    <w:rsid w:val="00E862AC"/>
    <w:rsid w:val="00EA227F"/>
    <w:rsid w:val="00EB128D"/>
    <w:rsid w:val="00EC441F"/>
    <w:rsid w:val="00EC4E5D"/>
    <w:rsid w:val="00EE5033"/>
    <w:rsid w:val="00EF0898"/>
    <w:rsid w:val="00F238CC"/>
    <w:rsid w:val="00F335F1"/>
    <w:rsid w:val="00F34DCD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93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707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2688/f1000research.148617.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52</cp:revision>
  <cp:lastPrinted>2026-02-21T05:03:00Z</cp:lastPrinted>
  <dcterms:created xsi:type="dcterms:W3CDTF">2025-12-03T11:08:00Z</dcterms:created>
  <dcterms:modified xsi:type="dcterms:W3CDTF">2026-08-19T14:46:00Z</dcterms:modified>
</cp:coreProperties>
</file>