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2881A" w14:textId="77777777" w:rsidR="00A96FBD" w:rsidRPr="00AF3056" w:rsidRDefault="00A96FBD" w:rsidP="00A96FBD">
      <w:pPr>
        <w:suppressLineNumbers/>
        <w:spacing w:after="0" w:line="240" w:lineRule="auto"/>
        <w:jc w:val="both"/>
        <w:rPr>
          <w:rFonts w:ascii="Arial Rounded MT Bold" w:hAnsi="Arial Rounded MT Bold"/>
          <w:b/>
          <w:bCs/>
        </w:rPr>
      </w:pPr>
      <w:r w:rsidRPr="00AF3056">
        <w:rPr>
          <w:rFonts w:ascii="Arial Rounded MT Bold" w:hAnsi="Arial Rounded MT Bold"/>
          <w:b/>
          <w:bCs/>
        </w:rPr>
        <w:t xml:space="preserve">REFERENCES </w:t>
      </w:r>
    </w:p>
    <w:p w14:paraId="784C3059" w14:textId="77777777" w:rsidR="00A96FBD" w:rsidRPr="00AF3056" w:rsidRDefault="00A96FBD" w:rsidP="00A96FBD">
      <w:pPr>
        <w:suppressLineNumbers/>
        <w:spacing w:after="0" w:line="240" w:lineRule="auto"/>
        <w:jc w:val="both"/>
        <w:rPr>
          <w:rFonts w:ascii="Bahnschrift" w:hAnsi="Bahnschrift"/>
        </w:rPr>
      </w:pPr>
      <w:r w:rsidRPr="00AF3056">
        <w:rPr>
          <w:rFonts w:ascii="Bahnschrift" w:hAnsi="Bahnschrift"/>
        </w:rPr>
        <w:t xml:space="preserve"> </w:t>
      </w:r>
    </w:p>
    <w:p w14:paraId="1DE7BD8C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Abbaspour, N., Hurrell, R., &amp; </w:t>
      </w:r>
      <w:proofErr w:type="spellStart"/>
      <w:r w:rsidRPr="00AA0275">
        <w:rPr>
          <w:rFonts w:ascii="Bahnschrift" w:hAnsi="Bahnschrift"/>
        </w:rPr>
        <w:t>Kelishadi</w:t>
      </w:r>
      <w:proofErr w:type="spellEnd"/>
      <w:r w:rsidRPr="00AA0275">
        <w:rPr>
          <w:rFonts w:ascii="Bahnschrift" w:hAnsi="Bahnschrift"/>
        </w:rPr>
        <w:t xml:space="preserve">, R. (2014). Review on iron and its importance for human health.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Journal of Research in Medical Sciences, 19</w:t>
      </w:r>
      <w:r w:rsidRPr="00AA0275">
        <w:rPr>
          <w:rFonts w:ascii="Bahnschrift" w:hAnsi="Bahnschrift"/>
        </w:rPr>
        <w:t xml:space="preserve">(2), 164–174. </w:t>
      </w:r>
      <w:hyperlink r:id="rId7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https://doi.org/10.4103/1735-1995.129850</w:t>
        </w:r>
      </w:hyperlink>
    </w:p>
    <w:p w14:paraId="5E5F5709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0A9AD06F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Aurino, E., Tranchant, J. P., Diallo, A. S., &amp; Gelli, A. (2019). School feeding or general food distribution? Quasi-experimental evidence on educational impacts in Mali.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BMJ Global Health, 4</w:t>
      </w:r>
      <w:r w:rsidRPr="00AA0275">
        <w:rPr>
          <w:rFonts w:ascii="Bahnschrift" w:hAnsi="Bahnschrift"/>
        </w:rPr>
        <w:t xml:space="preserve">(4), Article e001840. </w:t>
      </w:r>
      <w:hyperlink r:id="rId8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https://doi.org/10.1136/bmjgh-2019-001840</w:t>
        </w:r>
      </w:hyperlink>
    </w:p>
    <w:p w14:paraId="703AF5D5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20F5DF79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Becker, G. S. (1964).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Human capital: A theoretical and empirical analysis, with special reference to education</w:t>
      </w:r>
      <w:r w:rsidRPr="00AA0275">
        <w:rPr>
          <w:rFonts w:ascii="Bahnschrift" w:hAnsi="Bahnschrift"/>
        </w:rPr>
        <w:t xml:space="preserve">. National Bureau of Economic Research. </w:t>
      </w:r>
      <w:hyperlink r:id="rId9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https://www.nber.org/books-and-chapters/human-capital-theoretical-and-empirical-analysis-special-reference-education</w:t>
        </w:r>
      </w:hyperlink>
    </w:p>
    <w:p w14:paraId="138AD870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509DEBFF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Black, M. M., Walker, S. P., Fernald, L. C. H., Andersen, C. T., DiGirolamo, A. M., Lu, C., McCoy, D. C., Fink, G., Shawar, Y. R., Shiffman, J., </w:t>
      </w:r>
      <w:proofErr w:type="spellStart"/>
      <w:r w:rsidRPr="00AA0275">
        <w:rPr>
          <w:rFonts w:ascii="Bahnschrift" w:hAnsi="Bahnschrift"/>
        </w:rPr>
        <w:t>Devercelli</w:t>
      </w:r>
      <w:proofErr w:type="spellEnd"/>
      <w:r w:rsidRPr="00AA0275">
        <w:rPr>
          <w:rFonts w:ascii="Bahnschrift" w:hAnsi="Bahnschrift"/>
        </w:rPr>
        <w:t xml:space="preserve">, A. E., </w:t>
      </w:r>
      <w:proofErr w:type="spellStart"/>
      <w:r w:rsidRPr="00AA0275">
        <w:rPr>
          <w:rFonts w:ascii="Bahnschrift" w:hAnsi="Bahnschrift"/>
        </w:rPr>
        <w:t>Wodon</w:t>
      </w:r>
      <w:proofErr w:type="spellEnd"/>
      <w:r w:rsidRPr="00AA0275">
        <w:rPr>
          <w:rFonts w:ascii="Bahnschrift" w:hAnsi="Bahnschrift"/>
        </w:rPr>
        <w:t>, Q., Vargas-</w:t>
      </w:r>
      <w:proofErr w:type="spellStart"/>
      <w:r w:rsidRPr="00AA0275">
        <w:rPr>
          <w:rFonts w:ascii="Bahnschrift" w:hAnsi="Bahnschrift"/>
        </w:rPr>
        <w:t>Barón</w:t>
      </w:r>
      <w:proofErr w:type="spellEnd"/>
      <w:r w:rsidRPr="00AA0275">
        <w:rPr>
          <w:rFonts w:ascii="Bahnschrift" w:hAnsi="Bahnschrift"/>
        </w:rPr>
        <w:t xml:space="preserve">, E., &amp; Grantham-McGregor, S. (2017). Early childhood development coming of age: Science through the life course.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The Lancet, 389</w:t>
      </w:r>
      <w:r w:rsidRPr="00AA0275">
        <w:rPr>
          <w:rFonts w:ascii="Bahnschrift" w:hAnsi="Bahnschrift"/>
        </w:rPr>
        <w:t xml:space="preserve">(10064), 77–90. </w:t>
      </w:r>
      <w:hyperlink r:id="rId10" w:history="1">
        <w:r w:rsidRPr="004B7259">
          <w:rPr>
            <w:rStyle w:val="Hyperlink"/>
            <w:rFonts w:ascii="Bahnschrift" w:hAnsi="Bahnschrift"/>
            <w:color w:val="auto"/>
            <w:u w:val="none"/>
          </w:rPr>
          <w:t>https://doi.org/10.1016/S0140-6736(16)31389-7</w:t>
        </w:r>
      </w:hyperlink>
    </w:p>
    <w:p w14:paraId="55736F06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48772DC5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Bronfenbrenner, U. (1979).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The ecology of human development: Experiments by nature and design</w:t>
      </w:r>
      <w:r w:rsidRPr="00AA0275">
        <w:rPr>
          <w:rFonts w:ascii="Bahnschrift" w:hAnsi="Bahnschrift"/>
        </w:rPr>
        <w:t>. Harvard University Press.</w:t>
      </w:r>
    </w:p>
    <w:p w14:paraId="1F23AA52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3649D7C4" w14:textId="77777777" w:rsidR="00A96FBD" w:rsidRPr="00FB5CB2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Bundy, D. A. P., de Silva, N., Horton, S., Jamison, D. T., Patton, G. C., &amp; Disease Control Priorities-3 Child and Adolescent Health and Development Authors Group. (2018).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Child and adolescent health and development</w:t>
      </w:r>
      <w:r w:rsidRPr="00AA0275">
        <w:rPr>
          <w:rFonts w:ascii="Bahnschrift" w:hAnsi="Bahnschrift"/>
        </w:rPr>
        <w:t xml:space="preserve"> (3rd ed., Vol. 8). World Bank. </w:t>
      </w:r>
      <w:hyperlink r:id="rId11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https://doi.org/10.1596/978-1-4648-0423-6</w:t>
        </w:r>
      </w:hyperlink>
    </w:p>
    <w:p w14:paraId="49E75B16" w14:textId="77777777" w:rsidR="00A96FBD" w:rsidRPr="00FB5CB2" w:rsidRDefault="00A96FBD" w:rsidP="00A96FBD">
      <w:pPr>
        <w:pStyle w:val="NoSpacing"/>
        <w:ind w:left="720" w:hanging="720"/>
        <w:jc w:val="both"/>
        <w:rPr>
          <w:rFonts w:ascii="Bahnschrift" w:hAnsi="Bahnschrift"/>
          <w:color w:val="00B050"/>
        </w:rPr>
      </w:pPr>
    </w:p>
    <w:p w14:paraId="4B9E2F83" w14:textId="77777777" w:rsidR="00A96FBD" w:rsidRPr="008A228C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8A228C">
        <w:rPr>
          <w:rFonts w:ascii="Bahnschrift" w:hAnsi="Bahnschrift"/>
        </w:rPr>
        <w:t xml:space="preserve">Cordial, J. F., Evangelista, J. T., &amp; Bermudo, P. J. V. (2025a). Technological knowledge, integration practices, and challenges of primary school teachers in Zone III, Division of Catanduanes: Insights from the TPACK framework. </w:t>
      </w:r>
      <w:r w:rsidRPr="00562A1E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Pedagogy Review: An International Journal of Educational Theories, Approaches and Strategies</w:t>
      </w:r>
      <w:r w:rsidRPr="008A228C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, 6</w:t>
      </w:r>
      <w:r w:rsidRPr="008A228C">
        <w:rPr>
          <w:rFonts w:ascii="Bahnschrift" w:hAnsi="Bahnschrift"/>
        </w:rPr>
        <w:t xml:space="preserve">(1). </w:t>
      </w:r>
      <w:hyperlink r:id="rId12" w:tgtFrame="_blank" w:history="1">
        <w:r w:rsidRPr="008A228C">
          <w:rPr>
            <w:rStyle w:val="Hyperlink"/>
            <w:rFonts w:ascii="Bahnschrift" w:hAnsi="Bahnschrift"/>
            <w:color w:val="auto"/>
            <w:u w:val="none"/>
          </w:rPr>
          <w:t>https://doi.org/10.62718/vmca.pr-ijetas.6.1.SC-1125-001</w:t>
        </w:r>
      </w:hyperlink>
    </w:p>
    <w:p w14:paraId="0E918A3C" w14:textId="77777777" w:rsidR="00A96FBD" w:rsidRPr="008A228C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0070EAE1" w14:textId="77777777" w:rsidR="00A96FBD" w:rsidRPr="008A228C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8A228C">
        <w:rPr>
          <w:rFonts w:ascii="Bahnschrift" w:hAnsi="Bahnschrift"/>
        </w:rPr>
        <w:t xml:space="preserve">Cordial, J. F., Valledor, A. S., &amp; Bermudo, P. J. V. (2025b). Implementation strategies, challenges, and effectiveness of the Rapid Mathematics Assessment (RMA) in improving learners’ mathematical competence: Evidence from the Panganiban District, Schools Division of Catanduanes. </w:t>
      </w:r>
      <w:r w:rsidRPr="008A228C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Pedagogy Review: An International Journal of Educational Theories, Approaches and Strategies, 6</w:t>
      </w:r>
      <w:r w:rsidRPr="008A228C">
        <w:rPr>
          <w:rFonts w:ascii="Bahnschrift" w:hAnsi="Bahnschrift"/>
        </w:rPr>
        <w:t xml:space="preserve">(1), 147–158. </w:t>
      </w:r>
      <w:hyperlink r:id="rId13" w:tgtFrame="_blank" w:history="1">
        <w:r w:rsidRPr="008A228C">
          <w:rPr>
            <w:rStyle w:val="Hyperlink"/>
            <w:rFonts w:ascii="Bahnschrift" w:hAnsi="Bahnschrift"/>
            <w:color w:val="auto"/>
            <w:u w:val="none"/>
          </w:rPr>
          <w:t>https://doi.org/10.62718/vmca.pr-ijetas.6.1.SC-1125-021</w:t>
        </w:r>
      </w:hyperlink>
    </w:p>
    <w:p w14:paraId="06EF6D5E" w14:textId="77777777" w:rsidR="00A96FBD" w:rsidRPr="008A228C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2A436865" w14:textId="77777777" w:rsidR="00A96FBD" w:rsidRPr="008A228C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8A228C">
        <w:rPr>
          <w:rFonts w:ascii="Bahnschrift" w:hAnsi="Bahnschrift"/>
        </w:rPr>
        <w:t xml:space="preserve">Cordial, J. F., Villegas, H. T., &amp; Bermudo, P. J. V. (2026). Perceived gains, implementation barriers, and effectiveness of reading recovery strategies: Evidence from Viga East and West Districts, Schools Division of Catanduanes. </w:t>
      </w:r>
      <w:r w:rsidRPr="008A228C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Pedagogy Review: An International Journal of Educational Theories, Approaches and Strategies, 7</w:t>
      </w:r>
      <w:r w:rsidRPr="008A228C">
        <w:rPr>
          <w:rFonts w:ascii="Bahnschrift" w:hAnsi="Bahnschrift"/>
        </w:rPr>
        <w:t xml:space="preserve">(1), 17–30. </w:t>
      </w:r>
      <w:hyperlink r:id="rId14" w:tgtFrame="_blank" w:history="1">
        <w:r w:rsidRPr="008A228C">
          <w:rPr>
            <w:rStyle w:val="Hyperlink"/>
            <w:rFonts w:ascii="Bahnschrift" w:hAnsi="Bahnschrift"/>
            <w:color w:val="auto"/>
            <w:u w:val="none"/>
          </w:rPr>
          <w:t>https://doi.org/10.62718/vmca.pr-ijetas.7.1.SC-1125-034</w:t>
        </w:r>
      </w:hyperlink>
    </w:p>
    <w:p w14:paraId="7708C756" w14:textId="77777777" w:rsidR="00A96FBD" w:rsidRPr="008A228C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26D4323B" w14:textId="77777777" w:rsidR="00A96FBD" w:rsidRPr="008A228C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8A228C">
        <w:rPr>
          <w:rFonts w:ascii="Bahnschrift" w:hAnsi="Bahnschrift"/>
        </w:rPr>
        <w:lastRenderedPageBreak/>
        <w:t xml:space="preserve">Creswell, J. W., &amp; Creswell, J. D. (2018). </w:t>
      </w:r>
      <w:r w:rsidRPr="008A228C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Research design: Qualitative, quantitative, and mixed methods approaches</w:t>
      </w:r>
      <w:r w:rsidRPr="008A228C">
        <w:rPr>
          <w:rFonts w:ascii="Bahnschrift" w:hAnsi="Bahnschrift"/>
        </w:rPr>
        <w:t xml:space="preserve"> (5th ed.). SAGE Publications.</w:t>
      </w:r>
    </w:p>
    <w:p w14:paraId="3597C698" w14:textId="77777777" w:rsidR="00A96FBD" w:rsidRPr="008A228C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1AAA81CC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Daelmans, B., Darmstadt, G. L., Lombardi, J., Black, M. M., Britto, P. R., Lye, S., Dua, T., Bhutta, Z. A., &amp; Richter, L. M. (2017). Early childhood development: The foundation of sustainable development.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The Lancet, 389</w:t>
      </w:r>
      <w:r w:rsidRPr="00AA0275">
        <w:rPr>
          <w:rFonts w:ascii="Bahnschrift" w:hAnsi="Bahnschrift"/>
        </w:rPr>
        <w:t xml:space="preserve">(10064), 9–11. </w:t>
      </w:r>
      <w:hyperlink r:id="rId15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https://doi.org/10.1016/S0140-6736(16)31659-2</w:t>
        </w:r>
      </w:hyperlink>
    </w:p>
    <w:p w14:paraId="1A423B04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79DEBC00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>Darling-Hammond, L., Flook, L., Cook-Harvey, C., Barron, B., &amp; Osher, D. (2020). Implications for</w:t>
      </w:r>
      <w:r w:rsidRPr="00AA0275">
        <w:rPr>
          <w:rFonts w:ascii="Bahnschrift" w:hAnsi="Bahnschrift"/>
        </w:rPr>
        <w:tab/>
        <w:t xml:space="preserve">educational practice of the science of learning and development.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Applied Developmental Science, 24</w:t>
      </w:r>
      <w:r w:rsidRPr="00AA0275">
        <w:rPr>
          <w:rFonts w:ascii="Bahnschrift" w:hAnsi="Bahnschrift"/>
        </w:rPr>
        <w:t xml:space="preserve">(2), 97–140. </w:t>
      </w:r>
      <w:hyperlink r:id="rId16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https://doi.org/10.1080/10888691.2018.1537791</w:t>
        </w:r>
      </w:hyperlink>
    </w:p>
    <w:p w14:paraId="70DF4B00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414D3AB5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Department of Education. (2017). </w:t>
      </w:r>
      <w:r w:rsidRPr="00AA0275">
        <w:rPr>
          <w:rStyle w:val="Emphasis"/>
          <w:rFonts w:ascii="Bahnschrift" w:hAnsi="Bahnschrift"/>
        </w:rPr>
        <w:t>DO 39, s. 2017: Operational guidelines on the implementation of the School-Based Feeding Program for School Years 2017–2022</w:t>
      </w:r>
      <w:r w:rsidRPr="00AA0275">
        <w:rPr>
          <w:rFonts w:ascii="Bahnschrift" w:hAnsi="Bahnschrift"/>
        </w:rPr>
        <w:t xml:space="preserve">. </w:t>
      </w:r>
      <w:hyperlink r:id="rId17" w:tgtFrame="_new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https://www.deped.gov.ph/2017/08/07/do-39-s-2017-operational-guidelines-on-the-implementation-of-school-based-feeding-program-for-school-years-2017-2022/</w:t>
        </w:r>
      </w:hyperlink>
      <w:r w:rsidRPr="00AA0275">
        <w:rPr>
          <w:rFonts w:ascii="Bahnschrift" w:hAnsi="Bahnschrift"/>
        </w:rPr>
        <w:t xml:space="preserve"> </w:t>
      </w:r>
    </w:p>
    <w:p w14:paraId="4AD20766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76729F21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Department of Education. (2023). </w:t>
      </w:r>
      <w:r w:rsidRPr="00AA0275">
        <w:rPr>
          <w:rStyle w:val="Emphasis"/>
          <w:rFonts w:ascii="Bahnschrift" w:hAnsi="Bahnschrift"/>
        </w:rPr>
        <w:t>Division Memorandum No. 283, s. 2023: Operational guidelines on the implementation of the School-Based Feeding Program for Nutritious Food Products (NFP) and Milk Feeding (SBFP-MF) for SY 2023–2024</w:t>
      </w:r>
      <w:r w:rsidRPr="00AA0275">
        <w:rPr>
          <w:rFonts w:ascii="Bahnschrift" w:hAnsi="Bahnschrift"/>
        </w:rPr>
        <w:t xml:space="preserve">. Schools Division Office of Catanduanes. https://catanduanes.deped.gov.ph/files/DM-No.-283-s.2023---Operational-Guidelines-on-the-Implementation-of-the-School-Based-Feeding-Program-for-Nutritious-Food-Products--NFP--and-Milk-Feeding--SBFP-MF--for-SY-2023-2024.pdf </w:t>
      </w:r>
    </w:p>
    <w:p w14:paraId="264FB558" w14:textId="77777777" w:rsidR="00A96FBD" w:rsidRPr="00AA0275" w:rsidRDefault="00A96FBD" w:rsidP="00A96FBD">
      <w:pPr>
        <w:pStyle w:val="NoSpacing"/>
        <w:ind w:left="720" w:hanging="720"/>
        <w:jc w:val="both"/>
        <w:rPr>
          <w:rStyle w:val="Strong"/>
          <w:rFonts w:ascii="Bahnschrift" w:hAnsi="Bahnschrift"/>
          <w:b w:val="0"/>
        </w:rPr>
      </w:pPr>
    </w:p>
    <w:p w14:paraId="5AECAA4A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Style w:val="Strong"/>
          <w:rFonts w:ascii="Bahnschrift" w:hAnsi="Bahnschrift"/>
          <w:b w:val="0"/>
        </w:rPr>
        <w:t xml:space="preserve">Department of Science and Technology–Food and Nutrition Research Institute (DOST-FNRI). (2023). </w:t>
      </w:r>
      <w:r w:rsidRPr="00AA0275">
        <w:rPr>
          <w:rStyle w:val="Emphasis"/>
          <w:rFonts w:ascii="Bahnschrift" w:hAnsi="Bahnschrift"/>
          <w:bCs/>
        </w:rPr>
        <w:t>The Philippine nutrition situation</w:t>
      </w:r>
      <w:r w:rsidRPr="00AA0275">
        <w:rPr>
          <w:rStyle w:val="Strong"/>
          <w:rFonts w:ascii="Bahnschrift" w:hAnsi="Bahnschrift"/>
          <w:b w:val="0"/>
        </w:rPr>
        <w:t>. DOST-FNRI.</w:t>
      </w:r>
      <w:r w:rsidRPr="00AA0275">
        <w:rPr>
          <w:rFonts w:ascii="Bahnschrift" w:hAnsi="Bahnschrift"/>
        </w:rPr>
        <w:t xml:space="preserve"> </w:t>
      </w:r>
    </w:p>
    <w:p w14:paraId="444DB100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738C17DA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proofErr w:type="spellStart"/>
      <w:r w:rsidRPr="00AA0275">
        <w:rPr>
          <w:rFonts w:ascii="Bahnschrift" w:hAnsi="Bahnschrift"/>
        </w:rPr>
        <w:t>Etikan</w:t>
      </w:r>
      <w:proofErr w:type="spellEnd"/>
      <w:r w:rsidRPr="00AA0275">
        <w:rPr>
          <w:rFonts w:ascii="Bahnschrift" w:hAnsi="Bahnschrift"/>
        </w:rPr>
        <w:t xml:space="preserve">, I., &amp; Bala, K. (2017). Sampling and sampling methods.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Biometrics &amp; Biostatistics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ab/>
        <w:t>International Journal, 5</w:t>
      </w:r>
      <w:r w:rsidRPr="00AA0275">
        <w:rPr>
          <w:rFonts w:ascii="Bahnschrift" w:hAnsi="Bahnschrift"/>
        </w:rPr>
        <w:t xml:space="preserve">(6), 215–217. </w:t>
      </w:r>
      <w:hyperlink r:id="rId18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https://doi.org/10.15406/bbij.2017.05.00149</w:t>
        </w:r>
      </w:hyperlink>
    </w:p>
    <w:p w14:paraId="47DEA1B0" w14:textId="77777777" w:rsidR="00A96FBD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607BF1A4" w14:textId="0075F25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proofErr w:type="spellStart"/>
      <w:r w:rsidRPr="00AA0275">
        <w:rPr>
          <w:rFonts w:ascii="Bahnschrift" w:hAnsi="Bahnschrift"/>
        </w:rPr>
        <w:t>Ettekal</w:t>
      </w:r>
      <w:proofErr w:type="spellEnd"/>
      <w:r w:rsidRPr="00AA0275">
        <w:rPr>
          <w:rFonts w:ascii="Bahnschrift" w:hAnsi="Bahnschrift"/>
        </w:rPr>
        <w:t xml:space="preserve">, A., &amp; Mahoney, J. L. (2017). Ecological systems theory. In K. Peppler (Ed.),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The SAGE encyclopedia of out-of-school learning</w:t>
      </w:r>
      <w:r w:rsidRPr="00AA0275">
        <w:rPr>
          <w:rFonts w:ascii="Bahnschrift" w:hAnsi="Bahnschrift"/>
        </w:rPr>
        <w:t xml:space="preserve"> (pp. 239–241). SAGE. </w:t>
      </w:r>
      <w:hyperlink r:id="rId19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https://doi.org/10.4135/9781483345178.n94</w:t>
        </w:r>
      </w:hyperlink>
    </w:p>
    <w:p w14:paraId="0DF20CB4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19DE0CFD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Field, A. (2020).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Discovering statistics using IBM SPSS Statistics</w:t>
      </w:r>
      <w:r w:rsidRPr="00AA0275">
        <w:rPr>
          <w:rFonts w:ascii="Bahnschrift" w:hAnsi="Bahnschrift"/>
        </w:rPr>
        <w:t xml:space="preserve"> (5th ed.). SAGE Publications. </w:t>
      </w:r>
      <w:hyperlink r:id="rId20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https://uk.sagepub.com/en-gb/eur/discovering-statistics-using-ibm-spss-statistics/book257672</w:t>
        </w:r>
      </w:hyperlink>
    </w:p>
    <w:p w14:paraId="76A51734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3678292A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Galasso, E., &amp; Wagstaff, A. (2019). The aggregate income losses from childhood stunting and the returns to nutrition interventions, by type of intervention.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Economics &amp; Human Biology, 34</w:t>
      </w:r>
      <w:r w:rsidRPr="00AA0275">
        <w:rPr>
          <w:rFonts w:ascii="Bahnschrift" w:hAnsi="Bahnschrift"/>
        </w:rPr>
        <w:t xml:space="preserve">, 225–238. </w:t>
      </w:r>
      <w:hyperlink r:id="rId21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https://doi.org/10.1016/j.ehb.2019.01.010</w:t>
        </w:r>
      </w:hyperlink>
    </w:p>
    <w:p w14:paraId="3AD01317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5B79233C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Georgieff, M. K. (2018). Iron deficiency in children: Effects on brain development.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Pediatrics in Review, 39</w:t>
      </w:r>
      <w:r w:rsidRPr="00AA0275">
        <w:rPr>
          <w:rFonts w:ascii="Bahnschrift" w:hAnsi="Bahnschrift"/>
        </w:rPr>
        <w:t xml:space="preserve">(11), 549–557. </w:t>
      </w:r>
      <w:hyperlink r:id="rId22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https://doi.org/10.1542/pir.2017-0233</w:t>
        </w:r>
      </w:hyperlink>
    </w:p>
    <w:p w14:paraId="51499262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0E818E6C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lastRenderedPageBreak/>
        <w:t xml:space="preserve">Hay, I., &amp; Israel, M. (2021). Caring about research ethics and integrity in human geography. In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Research Ethics in Human Geography</w:t>
      </w:r>
      <w:r w:rsidRPr="00AA0275">
        <w:rPr>
          <w:rFonts w:ascii="Bahnschrift" w:hAnsi="Bahnschrift"/>
        </w:rPr>
        <w:t xml:space="preserve"> (pp. 23–41). Routledge. </w:t>
      </w:r>
      <w:hyperlink r:id="rId23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https://doi.org/10.4324/9780429507366-2</w:t>
        </w:r>
      </w:hyperlink>
    </w:p>
    <w:p w14:paraId="32DD80B3" w14:textId="77777777" w:rsidR="00A96FBD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1B419064" w14:textId="42EDAB9D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Mertens, D. M. (2022).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Research and evaluation in education and psychology: Integrating diversity with quantitative, qualitative, and mixed methods</w:t>
      </w:r>
      <w:r w:rsidRPr="00AA0275">
        <w:rPr>
          <w:rFonts w:ascii="Bahnschrift" w:hAnsi="Bahnschrift"/>
        </w:rPr>
        <w:t xml:space="preserve"> (6th ed.). SAGE Publications. https://us.sagepub.com/en-us/nam/research-and-evaluation-in-education-and-psychology/book270316</w:t>
      </w:r>
    </w:p>
    <w:p w14:paraId="3D4D06EC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4F0F6739" w14:textId="77777777" w:rsidR="00A96FBD" w:rsidRPr="00AA0275" w:rsidRDefault="00A96FBD" w:rsidP="00A96FBD">
      <w:pPr>
        <w:pStyle w:val="NoSpacing"/>
        <w:ind w:left="720" w:hanging="720"/>
        <w:jc w:val="both"/>
        <w:rPr>
          <w:rStyle w:val="Hyperlink"/>
          <w:rFonts w:ascii="Bahnschrift" w:hAnsi="Bahnschrift"/>
          <w:color w:val="auto"/>
          <w:u w:val="none"/>
        </w:rPr>
      </w:pPr>
      <w:r w:rsidRPr="00AA0275">
        <w:rPr>
          <w:rFonts w:ascii="Bahnschrift" w:hAnsi="Bahnschrift"/>
        </w:rPr>
        <w:t xml:space="preserve">Miksza, P., &amp; </w:t>
      </w:r>
      <w:proofErr w:type="spellStart"/>
      <w:r w:rsidRPr="00AA0275">
        <w:rPr>
          <w:rFonts w:ascii="Bahnschrift" w:hAnsi="Bahnschrift"/>
        </w:rPr>
        <w:t>Elpus</w:t>
      </w:r>
      <w:proofErr w:type="spellEnd"/>
      <w:r w:rsidRPr="00AA0275">
        <w:rPr>
          <w:rFonts w:ascii="Bahnschrift" w:hAnsi="Bahnschrift"/>
        </w:rPr>
        <w:t xml:space="preserve">, K. (2018). Correlational design and analysis. In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Design and analysis for quantitative research in music education</w:t>
      </w:r>
      <w:r w:rsidRPr="00AA0275">
        <w:rPr>
          <w:rFonts w:ascii="Bahnschrift" w:hAnsi="Bahnschrift"/>
        </w:rPr>
        <w:t xml:space="preserve"> (pp. 68–89). Oxford University Press. </w:t>
      </w:r>
      <w:hyperlink r:id="rId24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https://doi.org/10.1093/oso/9780199391905.003.0006</w:t>
        </w:r>
      </w:hyperlink>
    </w:p>
    <w:p w14:paraId="1CF7C73B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  <w:i/>
          <w:iCs/>
        </w:rPr>
      </w:pPr>
    </w:p>
    <w:p w14:paraId="68A2EDE2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National Nutrition Council. (2024). </w:t>
      </w:r>
      <w:r w:rsidRPr="00AA0275">
        <w:rPr>
          <w:rStyle w:val="Emphasis"/>
          <w:rFonts w:ascii="Bahnschrift" w:hAnsi="Bahnschrift"/>
        </w:rPr>
        <w:t>2024 OPT Plus report</w:t>
      </w:r>
      <w:r w:rsidRPr="00AA0275">
        <w:rPr>
          <w:rFonts w:ascii="Bahnschrift" w:hAnsi="Bahnschrift"/>
        </w:rPr>
        <w:t xml:space="preserve">. Department of Health–National Nutrition Council. </w:t>
      </w:r>
      <w:hyperlink r:id="rId25" w:tgtFrame="_new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https://nnc.gov.ph/2024-opt-plus-report-now-available/</w:t>
        </w:r>
      </w:hyperlink>
    </w:p>
    <w:p w14:paraId="4D8CF3EE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3376E2D4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proofErr w:type="spellStart"/>
      <w:r w:rsidRPr="00AA0275">
        <w:rPr>
          <w:rFonts w:ascii="Bahnschrift" w:hAnsi="Bahnschrift"/>
        </w:rPr>
        <w:t>Nyaradi</w:t>
      </w:r>
      <w:proofErr w:type="spellEnd"/>
      <w:r w:rsidRPr="00AA0275">
        <w:rPr>
          <w:rFonts w:ascii="Bahnschrift" w:hAnsi="Bahnschrift"/>
        </w:rPr>
        <w:t xml:space="preserve">, A., Li, J., Hickling, S., Foster, J. K., &amp; Oddy, W. H. (2016). The role of nutrition in children’s neurocognitive development, from pregnancy through childhood.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Frontiers in Human Neuroscience, 10</w:t>
      </w:r>
      <w:r w:rsidRPr="00AA0275">
        <w:rPr>
          <w:rFonts w:ascii="Bahnschrift" w:hAnsi="Bahnschrift"/>
        </w:rPr>
        <w:t xml:space="preserve">, Article 229. </w:t>
      </w:r>
      <w:hyperlink r:id="rId26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https://doi.org/10.3389/fnhum.2016.00229</w:t>
        </w:r>
      </w:hyperlink>
    </w:p>
    <w:p w14:paraId="72E8B209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6402E6FF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Prado, E. L., &amp; Dewey, K. G. (2018). Nutrition and brain development in early life.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Nutrition Reviews, 76</w:t>
      </w:r>
      <w:r w:rsidRPr="00AA0275">
        <w:rPr>
          <w:rFonts w:ascii="Bahnschrift" w:hAnsi="Bahnschrift"/>
        </w:rPr>
        <w:t xml:space="preserve">(4), 267–284. </w:t>
      </w:r>
      <w:hyperlink r:id="rId27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https://doi.org/10.1093/nutrit/nuy001</w:t>
        </w:r>
      </w:hyperlink>
    </w:p>
    <w:p w14:paraId="5E64BBD9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59874D4C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Prado, E. L., Larson, L. M., Cox, K., &amp; Dewey, K. G. (2017). Do effects of early life interventions on linear growth corresponds to effects on neurobehavioral development? A systematic review and meta-analysis.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The Lancet Global Health, 5</w:t>
      </w:r>
      <w:r w:rsidRPr="00AA0275">
        <w:rPr>
          <w:rFonts w:ascii="Bahnschrift" w:hAnsi="Bahnschrift"/>
        </w:rPr>
        <w:t xml:space="preserve">(6), e592–e600. </w:t>
      </w:r>
      <w:hyperlink r:id="rId28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https://doi.org/10.1016/S2214-109X(17)30195-1</w:t>
        </w:r>
      </w:hyperlink>
    </w:p>
    <w:p w14:paraId="36AD31CE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2D5C7378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proofErr w:type="spellStart"/>
      <w:r w:rsidRPr="00AA0275">
        <w:rPr>
          <w:rFonts w:ascii="Bahnschrift" w:hAnsi="Bahnschrift"/>
        </w:rPr>
        <w:t>Suwannawong</w:t>
      </w:r>
      <w:proofErr w:type="spellEnd"/>
      <w:r w:rsidRPr="00AA0275">
        <w:rPr>
          <w:rFonts w:ascii="Bahnschrift" w:hAnsi="Bahnschrift"/>
        </w:rPr>
        <w:t xml:space="preserve">, P. R., </w:t>
      </w:r>
      <w:proofErr w:type="spellStart"/>
      <w:r w:rsidRPr="00AA0275">
        <w:rPr>
          <w:rFonts w:ascii="Bahnschrift" w:hAnsi="Bahnschrift"/>
        </w:rPr>
        <w:t>Auemaneekul</w:t>
      </w:r>
      <w:proofErr w:type="spellEnd"/>
      <w:r w:rsidRPr="00AA0275">
        <w:rPr>
          <w:rFonts w:ascii="Bahnschrift" w:hAnsi="Bahnschrift"/>
        </w:rPr>
        <w:t xml:space="preserve">, N., </w:t>
      </w:r>
      <w:proofErr w:type="spellStart"/>
      <w:r w:rsidRPr="00AA0275">
        <w:rPr>
          <w:rFonts w:ascii="Bahnschrift" w:hAnsi="Bahnschrift"/>
        </w:rPr>
        <w:t>Powwattana</w:t>
      </w:r>
      <w:proofErr w:type="spellEnd"/>
      <w:r w:rsidRPr="00AA0275">
        <w:rPr>
          <w:rFonts w:ascii="Bahnschrift" w:hAnsi="Bahnschrift"/>
        </w:rPr>
        <w:t xml:space="preserve">, A., &amp; </w:t>
      </w:r>
      <w:proofErr w:type="spellStart"/>
      <w:r w:rsidRPr="00AA0275">
        <w:rPr>
          <w:rFonts w:ascii="Bahnschrift" w:hAnsi="Bahnschrift"/>
        </w:rPr>
        <w:t>Chongsuwat</w:t>
      </w:r>
      <w:proofErr w:type="spellEnd"/>
      <w:r w:rsidRPr="00AA0275">
        <w:rPr>
          <w:rFonts w:ascii="Bahnschrift" w:hAnsi="Bahnschrift"/>
        </w:rPr>
        <w:t xml:space="preserve">, R. (2023). Ecological system theory and community participation to promote healthy food environments for obesity and non-communicable diseases prevention among school-age children.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Public Health Nutrition, 26</w:t>
      </w:r>
      <w:r w:rsidRPr="00AA0275">
        <w:rPr>
          <w:rFonts w:ascii="Bahnschrift" w:hAnsi="Bahnschrift"/>
        </w:rPr>
        <w:t xml:space="preserve">(7), 1488–1500. </w:t>
      </w:r>
      <w:hyperlink r:id="rId29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https://doi.org/10.1017/S136898002300040X</w:t>
        </w:r>
      </w:hyperlink>
    </w:p>
    <w:p w14:paraId="4EC68EF2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3266B747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proofErr w:type="spellStart"/>
      <w:r w:rsidRPr="00AA0275">
        <w:rPr>
          <w:rFonts w:ascii="Bahnschrift" w:hAnsi="Bahnschrift"/>
        </w:rPr>
        <w:t>Taherdoost</w:t>
      </w:r>
      <w:proofErr w:type="spellEnd"/>
      <w:r w:rsidRPr="00AA0275">
        <w:rPr>
          <w:rFonts w:ascii="Bahnschrift" w:hAnsi="Bahnschrift"/>
        </w:rPr>
        <w:t xml:space="preserve">, H. (2017). Determining sample size: How to calculate survey sample size.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International Journal of Economics and Management Systems, 2</w:t>
      </w:r>
      <w:r w:rsidRPr="00AA0275">
        <w:rPr>
          <w:rFonts w:ascii="Bahnschrift" w:hAnsi="Bahnschrift"/>
        </w:rPr>
        <w:t xml:space="preserve">, 237–239. </w:t>
      </w:r>
      <w:hyperlink r:id="rId30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https://www.iaras.org/iaras/filedownloads/ijems/2017/007-0025(2017).pdf</w:t>
        </w:r>
      </w:hyperlink>
    </w:p>
    <w:p w14:paraId="2991DEB5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5C199D45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Tudge, J. R. H., </w:t>
      </w:r>
      <w:proofErr w:type="spellStart"/>
      <w:r w:rsidRPr="00AA0275">
        <w:rPr>
          <w:rFonts w:ascii="Bahnschrift" w:hAnsi="Bahnschrift"/>
        </w:rPr>
        <w:t>Payir</w:t>
      </w:r>
      <w:proofErr w:type="spellEnd"/>
      <w:r w:rsidRPr="00AA0275">
        <w:rPr>
          <w:rFonts w:ascii="Bahnschrift" w:hAnsi="Bahnschrift"/>
        </w:rPr>
        <w:t xml:space="preserve">, A., </w:t>
      </w:r>
      <w:proofErr w:type="spellStart"/>
      <w:r w:rsidRPr="00AA0275">
        <w:rPr>
          <w:rFonts w:ascii="Bahnschrift" w:hAnsi="Bahnschrift"/>
        </w:rPr>
        <w:t>Merçon</w:t>
      </w:r>
      <w:proofErr w:type="spellEnd"/>
      <w:r w:rsidRPr="00AA0275">
        <w:rPr>
          <w:rFonts w:ascii="Bahnschrift" w:hAnsi="Bahnschrift"/>
        </w:rPr>
        <w:t xml:space="preserve">-Vargas, E. A., Cao, H., Liang, Y., Li, J., &amp; O’Brien, L. T. (2016). Still misused after all these years? A re-evaluation of the uses of Bronfenbrenner’s bioecological theory of human development.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Journal of Family Theory &amp; Review, 8</w:t>
      </w:r>
      <w:r w:rsidRPr="00AA0275">
        <w:rPr>
          <w:rFonts w:ascii="Bahnschrift" w:hAnsi="Bahnschrift"/>
        </w:rPr>
        <w:t xml:space="preserve">(4), 427–445. </w:t>
      </w:r>
      <w:hyperlink r:id="rId31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https://doi.org/10.1111/jftr.12165</w:t>
        </w:r>
      </w:hyperlink>
    </w:p>
    <w:p w14:paraId="5DB33FE6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40A7409B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UNESCO. (2022).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Global education monitoring report 2022: Non-state actors in education</w:t>
      </w:r>
      <w:r w:rsidRPr="00AA0275">
        <w:rPr>
          <w:rFonts w:ascii="Bahnschrift" w:hAnsi="Bahnschrift"/>
        </w:rPr>
        <w:t xml:space="preserve">. UNESCO Publishing. </w:t>
      </w:r>
      <w:hyperlink r:id="rId32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https://unesdoc.unesco.org/ark:/48223/pf0000380067</w:t>
        </w:r>
      </w:hyperlink>
    </w:p>
    <w:p w14:paraId="6B666348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51FBAD5A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UNICEF. (2021).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The state of the world’s children 2021: On my mind—Promoting, protecting and caring for children’s mental health</w:t>
      </w:r>
      <w:r w:rsidRPr="00AA0275">
        <w:rPr>
          <w:rFonts w:ascii="Bahnschrift" w:hAnsi="Bahnschrift"/>
        </w:rPr>
        <w:t xml:space="preserve">. United Nations Children's Fund. </w:t>
      </w:r>
      <w:hyperlink r:id="rId33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https://www.unicef.org/reports/state-worlds-children-2021</w:t>
        </w:r>
      </w:hyperlink>
    </w:p>
    <w:p w14:paraId="3F363AA0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1E73D94E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lastRenderedPageBreak/>
        <w:t xml:space="preserve">Victora, C. G., Christian, P., Vidaletti, L. P., Gatica-Domínguez, G., Menon, P., &amp; Black, R. E. (2021). Revisiting maternal and child undernutrition in low-income and middle-income countries: Variable progress towards an unfinished agenda.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The Lancet, 397</w:t>
      </w:r>
      <w:r w:rsidRPr="00AA0275">
        <w:rPr>
          <w:rFonts w:ascii="Bahnschrift" w:hAnsi="Bahnschrift"/>
        </w:rPr>
        <w:t xml:space="preserve">(10282), 1388–1399. </w:t>
      </w:r>
      <w:hyperlink r:id="rId34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https://doi.org/10.1016/S0140-6736(21)00394-9</w:t>
        </w:r>
      </w:hyperlink>
    </w:p>
    <w:p w14:paraId="524CE08C" w14:textId="77777777" w:rsidR="00A96FBD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5D643C42" w14:textId="769F249F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Wieringa, F. T., </w:t>
      </w:r>
      <w:proofErr w:type="spellStart"/>
      <w:r w:rsidRPr="00AA0275">
        <w:rPr>
          <w:rFonts w:ascii="Bahnschrift" w:hAnsi="Bahnschrift"/>
        </w:rPr>
        <w:t>Dijkhuizen</w:t>
      </w:r>
      <w:proofErr w:type="spellEnd"/>
      <w:r w:rsidRPr="00AA0275">
        <w:rPr>
          <w:rFonts w:ascii="Bahnschrift" w:hAnsi="Bahnschrift"/>
        </w:rPr>
        <w:t xml:space="preserve">, M. A., Berger, J., &amp; </w:t>
      </w:r>
      <w:proofErr w:type="spellStart"/>
      <w:r w:rsidRPr="00AA0275">
        <w:rPr>
          <w:rFonts w:ascii="Bahnschrift" w:hAnsi="Bahnschrift"/>
        </w:rPr>
        <w:t>Thurnham</w:t>
      </w:r>
      <w:proofErr w:type="spellEnd"/>
      <w:r w:rsidRPr="00AA0275">
        <w:rPr>
          <w:rFonts w:ascii="Bahnschrift" w:hAnsi="Bahnschrift"/>
        </w:rPr>
        <w:t xml:space="preserve">, D. I. (2019). Micronutrient deficiencies and their implications for educational outcomes among school-age children.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Nutrients, 11</w:t>
      </w:r>
      <w:r w:rsidRPr="00AA0275">
        <w:rPr>
          <w:rFonts w:ascii="Bahnschrift" w:hAnsi="Bahnschrift"/>
        </w:rPr>
        <w:t xml:space="preserve">(8), Article 1801. </w:t>
      </w:r>
      <w:hyperlink r:id="rId35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https://doi.org/10.3390/nu11081801</w:t>
        </w:r>
      </w:hyperlink>
    </w:p>
    <w:p w14:paraId="69688F48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6B4DBF28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World Bank. (2018, October 11).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Investment in nutrition, quality health care, education and skills essential to build human capital in PNG and the Pacific</w:t>
      </w:r>
      <w:r w:rsidRPr="00AA0275">
        <w:rPr>
          <w:rFonts w:ascii="Bahnschrift" w:hAnsi="Bahnschrift"/>
        </w:rPr>
        <w:t xml:space="preserve"> [Press release]. </w:t>
      </w:r>
      <w:hyperlink r:id="rId36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https://www.worldbank.org/en/news/press-release/2018/10/11/investment-in-nutrition-quality-health-care-education-and-skills-essential-to-build-human-capital-in-png-and-the-pacific</w:t>
        </w:r>
      </w:hyperlink>
    </w:p>
    <w:p w14:paraId="20AB40FE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64E913A2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World Bank. (2020). </w:t>
      </w:r>
      <w:r w:rsidRPr="00AA0275">
        <w:rPr>
          <w:rFonts w:ascii="Bahnschrift" w:eastAsiaTheme="minorHAnsi" w:hAnsi="Bahnschrift" w:cstheme="minorBidi"/>
          <w:i/>
          <w:iCs/>
          <w:kern w:val="2"/>
          <w:lang w:eastAsia="en-US"/>
          <w14:ligatures w14:val="standardContextual"/>
        </w:rPr>
        <w:t>The Human Capital Index 2020 update: Human capital in the time of COVID-19</w:t>
      </w:r>
      <w:r w:rsidRPr="00AA0275">
        <w:rPr>
          <w:rFonts w:ascii="Bahnschrift" w:hAnsi="Bahnschrift"/>
        </w:rPr>
        <w:t xml:space="preserve">. World Bank. </w:t>
      </w:r>
      <w:hyperlink r:id="rId37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https://doi.org/10.1596/978-1-4648-1552-2</w:t>
        </w:r>
      </w:hyperlink>
    </w:p>
    <w:p w14:paraId="5CA31301" w14:textId="77777777" w:rsidR="00A96FBD" w:rsidRPr="00AA0275" w:rsidRDefault="00A96FBD" w:rsidP="00A96FBD">
      <w:pPr>
        <w:pStyle w:val="NoSpacing"/>
        <w:ind w:left="720" w:hanging="720"/>
        <w:jc w:val="both"/>
        <w:rPr>
          <w:rFonts w:ascii="Bahnschrift" w:hAnsi="Bahnschrift"/>
        </w:rPr>
      </w:pPr>
    </w:p>
    <w:p w14:paraId="771CEF71" w14:textId="77777777" w:rsidR="00A96FBD" w:rsidRPr="00AA0275" w:rsidRDefault="00A96FBD" w:rsidP="00A96FBD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A0275">
        <w:rPr>
          <w:rFonts w:ascii="Bahnschrift" w:hAnsi="Bahnschrift"/>
        </w:rPr>
        <w:t xml:space="preserve">World Health Organization [WHO]. (2023). </w:t>
      </w:r>
      <w:r w:rsidRPr="00AA0275">
        <w:rPr>
          <w:rFonts w:ascii="Bahnschrift" w:hAnsi="Bahnschrift"/>
          <w:i/>
          <w:iCs/>
        </w:rPr>
        <w:t>Guideline on nutrition interventions and child development</w:t>
      </w:r>
      <w:r w:rsidRPr="00AA0275">
        <w:rPr>
          <w:rFonts w:ascii="Bahnschrift" w:hAnsi="Bahnschrift"/>
        </w:rPr>
        <w:t xml:space="preserve">. World Health Organization. </w:t>
      </w:r>
      <w:hyperlink r:id="rId38" w:tgtFrame="_blank" w:history="1">
        <w:r w:rsidRPr="00AA0275">
          <w:rPr>
            <w:rStyle w:val="Hyperlink"/>
            <w:rFonts w:ascii="Bahnschrift" w:hAnsi="Bahnschrift"/>
            <w:color w:val="auto"/>
            <w:u w:val="none"/>
          </w:rPr>
          <w:t>https://www.who.int/publications/i/item/9789240068476</w:t>
        </w:r>
      </w:hyperlink>
      <w:r w:rsidRPr="00AA0275">
        <w:t>.</w:t>
      </w:r>
    </w:p>
    <w:p w14:paraId="1DCC34C7" w14:textId="77777777" w:rsidR="00B517BC" w:rsidRPr="0076460C" w:rsidRDefault="00B517BC" w:rsidP="00B517B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</w:p>
    <w:p w14:paraId="7F55EAF9" w14:textId="4E37BB98" w:rsidR="00671F20" w:rsidRPr="0076460C" w:rsidRDefault="00671F20" w:rsidP="00FE2FD1">
      <w:pPr>
        <w:rPr>
          <w:sz w:val="24"/>
          <w:szCs w:val="24"/>
          <w:lang w:val="en-US"/>
        </w:rPr>
      </w:pPr>
    </w:p>
    <w:p w14:paraId="5CF7CE56" w14:textId="77777777" w:rsidR="0076460C" w:rsidRPr="0076460C" w:rsidRDefault="0076460C">
      <w:pPr>
        <w:rPr>
          <w:sz w:val="24"/>
          <w:szCs w:val="24"/>
          <w:lang w:val="en-US"/>
        </w:rPr>
      </w:pPr>
    </w:p>
    <w:sectPr w:rsidR="0076460C" w:rsidRPr="0076460C" w:rsidSect="00AE2C6C">
      <w:headerReference w:type="default" r:id="rId3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099CB" w14:textId="77777777" w:rsidR="001A3893" w:rsidRDefault="001A3893" w:rsidP="00290EE2">
      <w:pPr>
        <w:spacing w:after="0" w:line="240" w:lineRule="auto"/>
      </w:pPr>
      <w:r>
        <w:separator/>
      </w:r>
    </w:p>
  </w:endnote>
  <w:endnote w:type="continuationSeparator" w:id="0">
    <w:p w14:paraId="511492CD" w14:textId="77777777" w:rsidR="001A3893" w:rsidRDefault="001A3893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48764" w14:textId="77777777" w:rsidR="001A3893" w:rsidRDefault="001A3893" w:rsidP="00290EE2">
      <w:pPr>
        <w:spacing w:after="0" w:line="240" w:lineRule="auto"/>
      </w:pPr>
      <w:r>
        <w:separator/>
      </w:r>
    </w:p>
  </w:footnote>
  <w:footnote w:type="continuationSeparator" w:id="0">
    <w:p w14:paraId="52B97EAF" w14:textId="77777777" w:rsidR="001A3893" w:rsidRDefault="001A3893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1E1B4D"/>
    <w:multiLevelType w:val="multilevel"/>
    <w:tmpl w:val="36A6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6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2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7"/>
  </w:num>
  <w:num w:numId="26" w16cid:durableId="1921407878">
    <w:abstractNumId w:val="18"/>
  </w:num>
  <w:num w:numId="27" w16cid:durableId="1137604831">
    <w:abstractNumId w:val="37"/>
  </w:num>
  <w:num w:numId="28" w16cid:durableId="1843815622">
    <w:abstractNumId w:val="21"/>
  </w:num>
  <w:num w:numId="29" w16cid:durableId="1984578508">
    <w:abstractNumId w:val="19"/>
  </w:num>
  <w:num w:numId="30" w16cid:durableId="1087849804">
    <w:abstractNumId w:val="16"/>
  </w:num>
  <w:num w:numId="31" w16cid:durableId="1535196864">
    <w:abstractNumId w:val="20"/>
  </w:num>
  <w:num w:numId="32" w16cid:durableId="1006328205">
    <w:abstractNumId w:val="36"/>
  </w:num>
  <w:num w:numId="33" w16cid:durableId="2076972064">
    <w:abstractNumId w:val="25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4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3"/>
  </w:num>
  <w:num w:numId="41" w16cid:durableId="7134256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263CC"/>
    <w:rsid w:val="0003043D"/>
    <w:rsid w:val="00077679"/>
    <w:rsid w:val="000854B9"/>
    <w:rsid w:val="00085B6A"/>
    <w:rsid w:val="000905B2"/>
    <w:rsid w:val="000B20E3"/>
    <w:rsid w:val="000C2E76"/>
    <w:rsid w:val="000E6E7E"/>
    <w:rsid w:val="000F5057"/>
    <w:rsid w:val="000F6515"/>
    <w:rsid w:val="001537E9"/>
    <w:rsid w:val="001803A8"/>
    <w:rsid w:val="001A3893"/>
    <w:rsid w:val="001E51ED"/>
    <w:rsid w:val="001F54EA"/>
    <w:rsid w:val="00246867"/>
    <w:rsid w:val="00290EE2"/>
    <w:rsid w:val="002D330A"/>
    <w:rsid w:val="002D3698"/>
    <w:rsid w:val="002D436B"/>
    <w:rsid w:val="002F25AC"/>
    <w:rsid w:val="00305990"/>
    <w:rsid w:val="00330D2C"/>
    <w:rsid w:val="00370561"/>
    <w:rsid w:val="00376F42"/>
    <w:rsid w:val="003850EC"/>
    <w:rsid w:val="0039693E"/>
    <w:rsid w:val="003970FD"/>
    <w:rsid w:val="0040380D"/>
    <w:rsid w:val="004065DD"/>
    <w:rsid w:val="0041197F"/>
    <w:rsid w:val="00423FA0"/>
    <w:rsid w:val="00441477"/>
    <w:rsid w:val="0044264E"/>
    <w:rsid w:val="00447D9B"/>
    <w:rsid w:val="00451A1D"/>
    <w:rsid w:val="00461A7E"/>
    <w:rsid w:val="00487414"/>
    <w:rsid w:val="004935CA"/>
    <w:rsid w:val="004B45E4"/>
    <w:rsid w:val="004D3CC1"/>
    <w:rsid w:val="004D55CB"/>
    <w:rsid w:val="004D7883"/>
    <w:rsid w:val="004D79C8"/>
    <w:rsid w:val="00502501"/>
    <w:rsid w:val="0052185D"/>
    <w:rsid w:val="00535B8B"/>
    <w:rsid w:val="005611F8"/>
    <w:rsid w:val="00565F68"/>
    <w:rsid w:val="00567107"/>
    <w:rsid w:val="005A412C"/>
    <w:rsid w:val="005C1604"/>
    <w:rsid w:val="005D2292"/>
    <w:rsid w:val="005D4E9F"/>
    <w:rsid w:val="00600DEF"/>
    <w:rsid w:val="00603552"/>
    <w:rsid w:val="006068F5"/>
    <w:rsid w:val="00614D90"/>
    <w:rsid w:val="00623E52"/>
    <w:rsid w:val="00623E9B"/>
    <w:rsid w:val="00640E62"/>
    <w:rsid w:val="0064183D"/>
    <w:rsid w:val="00671F20"/>
    <w:rsid w:val="00676A64"/>
    <w:rsid w:val="006D226E"/>
    <w:rsid w:val="006D5B80"/>
    <w:rsid w:val="00715281"/>
    <w:rsid w:val="00735A13"/>
    <w:rsid w:val="00755F49"/>
    <w:rsid w:val="00756E91"/>
    <w:rsid w:val="0076121C"/>
    <w:rsid w:val="0076460C"/>
    <w:rsid w:val="00793BA1"/>
    <w:rsid w:val="007A4C79"/>
    <w:rsid w:val="007C1CD4"/>
    <w:rsid w:val="007E1A12"/>
    <w:rsid w:val="007E2834"/>
    <w:rsid w:val="007E5DD9"/>
    <w:rsid w:val="007F1F44"/>
    <w:rsid w:val="00805D1B"/>
    <w:rsid w:val="00814436"/>
    <w:rsid w:val="00821C09"/>
    <w:rsid w:val="00834DC8"/>
    <w:rsid w:val="00847EF6"/>
    <w:rsid w:val="0085353D"/>
    <w:rsid w:val="008613BB"/>
    <w:rsid w:val="00866E71"/>
    <w:rsid w:val="008816E7"/>
    <w:rsid w:val="008B0FD5"/>
    <w:rsid w:val="008E0D92"/>
    <w:rsid w:val="008E1167"/>
    <w:rsid w:val="008F2867"/>
    <w:rsid w:val="009518D7"/>
    <w:rsid w:val="0095714A"/>
    <w:rsid w:val="009861AB"/>
    <w:rsid w:val="00986983"/>
    <w:rsid w:val="00991E5A"/>
    <w:rsid w:val="0099511C"/>
    <w:rsid w:val="009C0634"/>
    <w:rsid w:val="00A0661E"/>
    <w:rsid w:val="00A07BBD"/>
    <w:rsid w:val="00A11A8C"/>
    <w:rsid w:val="00A46EC1"/>
    <w:rsid w:val="00A949FE"/>
    <w:rsid w:val="00A96FBD"/>
    <w:rsid w:val="00AA5980"/>
    <w:rsid w:val="00AB7B62"/>
    <w:rsid w:val="00AE2C6C"/>
    <w:rsid w:val="00AE75F0"/>
    <w:rsid w:val="00B03067"/>
    <w:rsid w:val="00B517BC"/>
    <w:rsid w:val="00B52DD2"/>
    <w:rsid w:val="00BD197D"/>
    <w:rsid w:val="00BD21AF"/>
    <w:rsid w:val="00C019A5"/>
    <w:rsid w:val="00C1010B"/>
    <w:rsid w:val="00C261F2"/>
    <w:rsid w:val="00C4676A"/>
    <w:rsid w:val="00C64BBB"/>
    <w:rsid w:val="00C833B7"/>
    <w:rsid w:val="00D12E17"/>
    <w:rsid w:val="00D21FD1"/>
    <w:rsid w:val="00D269F4"/>
    <w:rsid w:val="00D56D5A"/>
    <w:rsid w:val="00D63BE3"/>
    <w:rsid w:val="00D86FE1"/>
    <w:rsid w:val="00D90040"/>
    <w:rsid w:val="00DC7E96"/>
    <w:rsid w:val="00DD0027"/>
    <w:rsid w:val="00DD169C"/>
    <w:rsid w:val="00DD3D62"/>
    <w:rsid w:val="00DD5544"/>
    <w:rsid w:val="00DE625B"/>
    <w:rsid w:val="00DE69B0"/>
    <w:rsid w:val="00DF30A2"/>
    <w:rsid w:val="00DF5CBF"/>
    <w:rsid w:val="00E02438"/>
    <w:rsid w:val="00E03E24"/>
    <w:rsid w:val="00E203A6"/>
    <w:rsid w:val="00E5333A"/>
    <w:rsid w:val="00E67E08"/>
    <w:rsid w:val="00E84A47"/>
    <w:rsid w:val="00EA227F"/>
    <w:rsid w:val="00EB2813"/>
    <w:rsid w:val="00EC4E5D"/>
    <w:rsid w:val="00ED56E4"/>
    <w:rsid w:val="00F04034"/>
    <w:rsid w:val="00F23CBA"/>
    <w:rsid w:val="00F462FC"/>
    <w:rsid w:val="00F563EA"/>
    <w:rsid w:val="00F74DF4"/>
    <w:rsid w:val="00FE2FD1"/>
    <w:rsid w:val="00FE4A12"/>
    <w:rsid w:val="00FE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BD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A96FBD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A96FBD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A96FBD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A96F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62718/vmca.pr-ijetas.6.1.SC-1125-021" TargetMode="External"/><Relationship Id="rId18" Type="http://schemas.openxmlformats.org/officeDocument/2006/relationships/hyperlink" Target="https://doi.org/10.15406/bbij.2017.05.00149" TargetMode="External"/><Relationship Id="rId26" Type="http://schemas.openxmlformats.org/officeDocument/2006/relationships/hyperlink" Target="https://www.google.com/search?q=https%3A%2F%2Fdoi.org%2F10.3389%2Ffnhum.2016.00229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www.google.com/search?q=https%3A%2F%2Fdoi.org%2F10.1016%2Fj.ehb.2019.01.010" TargetMode="External"/><Relationship Id="rId34" Type="http://schemas.openxmlformats.org/officeDocument/2006/relationships/hyperlink" Target="https://www.google.com/search?q=https%3A%2F%2Fdoi.org%2F10.1016%2FS0140-6736%2821%2900394-9" TargetMode="External"/><Relationship Id="rId7" Type="http://schemas.openxmlformats.org/officeDocument/2006/relationships/hyperlink" Target="https://doi.org/10.4103/1735-1995.1298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80/10888691.2018.1537791" TargetMode="External"/><Relationship Id="rId20" Type="http://schemas.openxmlformats.org/officeDocument/2006/relationships/hyperlink" Target="https://www.google.com/search?q=https%3A%2F%2Fuk.sagepub.com%2Fen-gb%2Feur%2Fdiscovering-statistics-using-ibm-spss-statistics%2Fbook257672" TargetMode="External"/><Relationship Id="rId29" Type="http://schemas.openxmlformats.org/officeDocument/2006/relationships/hyperlink" Target="https://www.google.com/search?q=https%3A%2F%2Fdoi.org%2F10.1017%2FS136898002300040X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596/978-1-4648-0423-6" TargetMode="External"/><Relationship Id="rId24" Type="http://schemas.openxmlformats.org/officeDocument/2006/relationships/hyperlink" Target="https://www.google.com/search?q=https%3A%2F%2Fdoi.org%2F10.1093%2Foso%2F9780199391905.003.0006" TargetMode="External"/><Relationship Id="rId32" Type="http://schemas.openxmlformats.org/officeDocument/2006/relationships/hyperlink" Target="https://www.google.com/search?q=https%3A%2F%2Funesdoc.unesco.org%2Fark%3A%2F48223%2Fpf0000380067" TargetMode="External"/><Relationship Id="rId37" Type="http://schemas.openxmlformats.org/officeDocument/2006/relationships/hyperlink" Target="https://www.google.com/search?q=https%3A%2F%2Fdoi.org%2F10.1596%2F978-1-4648-1552-2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oi.org/10.1016/S0140-6736(16)31659-2" TargetMode="External"/><Relationship Id="rId23" Type="http://schemas.openxmlformats.org/officeDocument/2006/relationships/hyperlink" Target="https://doi.org/10.4324/9780429507366-2" TargetMode="External"/><Relationship Id="rId28" Type="http://schemas.openxmlformats.org/officeDocument/2006/relationships/hyperlink" Target="https://www.google.com/search?q=https%3A%2F%2Fdoi.org%2F10.1016%2FS2214-109X%2817%2930195-1" TargetMode="External"/><Relationship Id="rId36" Type="http://schemas.openxmlformats.org/officeDocument/2006/relationships/hyperlink" Target="https://www.google.com/search?q=https%3A%2F%2Fwww.worldbank.org%2Fen%2Fnews%2Fpress-release%2F2018%2F10%2F11%2Finvestment-in-nutrition-quality-health-care-education-and-skills-essential-to-build-human-capital-in-png-and-the-pacific" TargetMode="External"/><Relationship Id="rId10" Type="http://schemas.openxmlformats.org/officeDocument/2006/relationships/hyperlink" Target="https://doi.org/10.1016/S0140-6736(16)31389-7" TargetMode="External"/><Relationship Id="rId19" Type="http://schemas.openxmlformats.org/officeDocument/2006/relationships/hyperlink" Target="https://www.google.com/search?q=https%3A%2F%2Fdoi.org%2F10.4135%2F9781483345178.n94" TargetMode="External"/><Relationship Id="rId31" Type="http://schemas.openxmlformats.org/officeDocument/2006/relationships/hyperlink" Target="https://www.google.com/search?q=https%3A%2F%2Fdoi.org%2F10.1111%2Fjftr.121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ber.org/books-and-chapters/human-capital-theoretical-and-empirical-analysis-special-reference-education" TargetMode="External"/><Relationship Id="rId14" Type="http://schemas.openxmlformats.org/officeDocument/2006/relationships/hyperlink" Target="https://doi.org/10.62718/vmca.pr-ijetas.7.1.SC-1125-034" TargetMode="External"/><Relationship Id="rId22" Type="http://schemas.openxmlformats.org/officeDocument/2006/relationships/hyperlink" Target="https://www.google.com/search?q=https%3A%2F%2Fdoi.org%2F10.1542%2Fpir.2017-0233" TargetMode="External"/><Relationship Id="rId27" Type="http://schemas.openxmlformats.org/officeDocument/2006/relationships/hyperlink" Target="https://www.google.com/search?q=https%3A%2F%2Fdoi.org%2F10.1093%2Fnutrit%2Fnuy001" TargetMode="External"/><Relationship Id="rId30" Type="http://schemas.openxmlformats.org/officeDocument/2006/relationships/hyperlink" Target="https://www.google.com/search?q=https%3A%2F%2Fwww.iaras.org%2Fiaras%2Ffiledownloads%2Fijems%2F2017%2F007-0025%282017%29.pdf" TargetMode="External"/><Relationship Id="rId35" Type="http://schemas.openxmlformats.org/officeDocument/2006/relationships/hyperlink" Target="https://www.google.com/search?q=https%3A%2F%2Fdoi.org%2F10.3390%2Fnu11081801" TargetMode="External"/><Relationship Id="rId8" Type="http://schemas.openxmlformats.org/officeDocument/2006/relationships/hyperlink" Target="https://doi.org/10.1136/bmjgh-2019-00184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62718/vmca.pr-ijetas.6.1.SC-1125-001" TargetMode="External"/><Relationship Id="rId17" Type="http://schemas.openxmlformats.org/officeDocument/2006/relationships/hyperlink" Target="https://www.deped.gov.ph/2017/08/07/do-39-s-2017-operational-guidelines-on-the-implementation-of-school-based-feeding-program-for-school-years-2017-2022/" TargetMode="External"/><Relationship Id="rId25" Type="http://schemas.openxmlformats.org/officeDocument/2006/relationships/hyperlink" Target="https://nnc.gov.ph/2024-opt-plus-report-now-available/" TargetMode="External"/><Relationship Id="rId33" Type="http://schemas.openxmlformats.org/officeDocument/2006/relationships/hyperlink" Target="https://www.google.com/search?q=https%3A%2F%2Fwww.unicef.org%2Freports%2Fstate-worlds-children-2021" TargetMode="External"/><Relationship Id="rId38" Type="http://schemas.openxmlformats.org/officeDocument/2006/relationships/hyperlink" Target="https://www.google.com/search?q=https%3A%2F%2Fwww.who.int%2Fpublications%2Fi%2Fitem%2F978924006847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1927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58</cp:revision>
  <cp:lastPrinted>2026-02-21T05:03:00Z</cp:lastPrinted>
  <dcterms:created xsi:type="dcterms:W3CDTF">2025-12-03T11:08:00Z</dcterms:created>
  <dcterms:modified xsi:type="dcterms:W3CDTF">2026-08-12T13:12:00Z</dcterms:modified>
</cp:coreProperties>
</file>