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9EB6" w14:textId="77777777" w:rsidR="00BA6C57" w:rsidRPr="001841CB" w:rsidRDefault="00BA6C57" w:rsidP="00BA6C5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1841CB">
        <w:rPr>
          <w:rFonts w:ascii="Arial Rounded MT Bold" w:hAnsi="Arial Rounded MT Bold"/>
          <w:b/>
          <w:bCs/>
        </w:rPr>
        <w:t>REFERENCES</w:t>
      </w:r>
    </w:p>
    <w:p w14:paraId="6FBD5AF2" w14:textId="77777777" w:rsidR="00BA6C57" w:rsidRPr="001841CB" w:rsidRDefault="00BA6C57" w:rsidP="00BA6C5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E56E3E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Abellera, J. M. (2020). Challenges in implementing formative assessment in Philippine basic education classrooms. </w:t>
      </w:r>
      <w:r w:rsidRPr="001841CB">
        <w:rPr>
          <w:rFonts w:ascii="Bahnschrift" w:hAnsi="Bahnschrift"/>
          <w:i/>
          <w:iCs/>
        </w:rPr>
        <w:t>Asia Pacific Journal of Multidisciplinary Research, 8</w:t>
      </w:r>
      <w:r w:rsidRPr="001841CB">
        <w:rPr>
          <w:rFonts w:ascii="Bahnschrift" w:hAnsi="Bahnschrift"/>
        </w:rPr>
        <w:t>(4), 1–10. https://www.apjmr.com</w:t>
      </w:r>
    </w:p>
    <w:p w14:paraId="76722DFE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5B6D00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Avalos, B. (2011). Teacher professional development in teaching and teacher education over ten years. </w:t>
      </w:r>
      <w:r w:rsidRPr="001841CB">
        <w:rPr>
          <w:rFonts w:ascii="Bahnschrift" w:hAnsi="Bahnschrift"/>
          <w:i/>
          <w:iCs/>
        </w:rPr>
        <w:t>Teaching and Teacher Education, 27</w:t>
      </w:r>
      <w:r w:rsidRPr="001841CB">
        <w:rPr>
          <w:rFonts w:ascii="Bahnschrift" w:hAnsi="Bahnschrift"/>
        </w:rPr>
        <w:t>(1), 10–20. https://doi.org/10.1016/j.tate.2010.08.007</w:t>
      </w:r>
    </w:p>
    <w:p w14:paraId="6F715910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72A043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Ball, D. L., Thames, M. H., &amp; Phelps, G. (2008). Content knowledge for teaching: What makes it special? </w:t>
      </w:r>
      <w:r w:rsidRPr="001841CB">
        <w:rPr>
          <w:rFonts w:ascii="Bahnschrift" w:hAnsi="Bahnschrift"/>
          <w:i/>
          <w:iCs/>
        </w:rPr>
        <w:t>Journal of Teacher Education, 59</w:t>
      </w:r>
      <w:r w:rsidRPr="001841CB">
        <w:rPr>
          <w:rFonts w:ascii="Bahnschrift" w:hAnsi="Bahnschrift"/>
        </w:rPr>
        <w:t xml:space="preserve">(5), 389–407. </w:t>
      </w:r>
      <w:r w:rsidRPr="005014B0">
        <w:rPr>
          <w:rFonts w:ascii="Bahnschrift" w:hAnsi="Bahnschrift"/>
          <w:sz w:val="21"/>
          <w:szCs w:val="21"/>
        </w:rPr>
        <w:t>https://doi.org/10.1177/0022487108324554</w:t>
      </w:r>
    </w:p>
    <w:p w14:paraId="4A7B2872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CB6BC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Baumert, J., Kunter, M., Blum, W., Brunner, M., Voss, T., Jordan, A., Klusmann, U., Krauss, S., Neubrand, M., &amp; Tsai, Y.-M. (2010). Teachers’ mathematical knowledge, cognitive activation in the classroom, and student progress. </w:t>
      </w:r>
      <w:r w:rsidRPr="001841CB">
        <w:rPr>
          <w:rFonts w:ascii="Bahnschrift" w:hAnsi="Bahnschrift"/>
          <w:i/>
          <w:iCs/>
        </w:rPr>
        <w:t>American Educational Research Journal, 47</w:t>
      </w:r>
      <w:r w:rsidRPr="001841CB">
        <w:rPr>
          <w:rFonts w:ascii="Bahnschrift" w:hAnsi="Bahnschrift"/>
        </w:rPr>
        <w:t xml:space="preserve">(1), 133–180. </w:t>
      </w:r>
      <w:r w:rsidRPr="005014B0">
        <w:rPr>
          <w:rFonts w:ascii="Bahnschrift" w:hAnsi="Bahnschrift"/>
          <w:sz w:val="21"/>
          <w:szCs w:val="21"/>
        </w:rPr>
        <w:t>https://doi.org/10.3102/0002831209345157</w:t>
      </w:r>
    </w:p>
    <w:p w14:paraId="23F2FE13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09E2B7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Black, P., &amp; Wiliam, D. (1998). Assessment and classroom learning. </w:t>
      </w:r>
      <w:r w:rsidRPr="001841CB">
        <w:rPr>
          <w:rFonts w:ascii="Bahnschrift" w:hAnsi="Bahnschrift"/>
          <w:i/>
          <w:iCs/>
        </w:rPr>
        <w:t>Assessment in Education: Principles, Policy &amp; Practice, 5</w:t>
      </w:r>
      <w:r w:rsidRPr="001841CB">
        <w:rPr>
          <w:rFonts w:ascii="Bahnschrift" w:hAnsi="Bahnschrift"/>
        </w:rPr>
        <w:t>(1), 7–74. https://doi.org/10.1080/0969595980050102</w:t>
      </w:r>
    </w:p>
    <w:p w14:paraId="624B48B7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D318432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Black, P., &amp; Wiliam, D. (2018). Classroom assessment and pedagogy. </w:t>
      </w:r>
      <w:r w:rsidRPr="001841CB">
        <w:rPr>
          <w:rFonts w:ascii="Bahnschrift" w:hAnsi="Bahnschrift"/>
          <w:i/>
          <w:iCs/>
        </w:rPr>
        <w:t>Assessment in Education, 25</w:t>
      </w:r>
      <w:r w:rsidRPr="001841CB">
        <w:rPr>
          <w:rFonts w:ascii="Bahnschrift" w:hAnsi="Bahnschrift"/>
        </w:rPr>
        <w:t>(6), 551–575. https://doi.org/10.1080/0969594X.2018.1441807</w:t>
      </w:r>
    </w:p>
    <w:p w14:paraId="6FA96BB2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957D7B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Creswell, J. W., &amp; Creswell, J. D. (2018). </w:t>
      </w:r>
      <w:r w:rsidRPr="001841CB">
        <w:rPr>
          <w:rFonts w:ascii="Bahnschrift" w:hAnsi="Bahnschrift"/>
          <w:i/>
          <w:iCs/>
        </w:rPr>
        <w:t>Research design: Qualitative, quantitative, and mixed methods approaches</w:t>
      </w:r>
      <w:r w:rsidRPr="001841CB">
        <w:rPr>
          <w:rFonts w:ascii="Bahnschrift" w:hAnsi="Bahnschrift"/>
        </w:rPr>
        <w:t xml:space="preserve"> (5th ed.). SAGE Publications. https://doi.org/10.4135/9781506386705</w:t>
      </w:r>
    </w:p>
    <w:p w14:paraId="6EFBAE3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857B90B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Darling-Hammond, L., Hyler, M. E., &amp; Gardner, M. (2017). </w:t>
      </w:r>
      <w:r w:rsidRPr="001841CB">
        <w:rPr>
          <w:rFonts w:ascii="Bahnschrift" w:hAnsi="Bahnschrift"/>
          <w:i/>
          <w:iCs/>
        </w:rPr>
        <w:t>Effective teacher professional development</w:t>
      </w:r>
      <w:r w:rsidRPr="001841CB">
        <w:rPr>
          <w:rFonts w:ascii="Bahnschrift" w:hAnsi="Bahnschrift"/>
        </w:rPr>
        <w:t>. Learning Policy Institute. https://learningpolicyinstitute.org/product/effective-teacher-professional-development-report</w:t>
      </w:r>
    </w:p>
    <w:p w14:paraId="6862AA0B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225A0A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David, C. C., &amp; Roger, P. P. (2021). Assessment practices and instructional competence among elementary teachers. </w:t>
      </w:r>
      <w:r w:rsidRPr="001841CB">
        <w:rPr>
          <w:rFonts w:ascii="Bahnschrift" w:hAnsi="Bahnschrift"/>
          <w:i/>
          <w:iCs/>
        </w:rPr>
        <w:t>International Journal of Educational Research Review, 6</w:t>
      </w:r>
      <w:r w:rsidRPr="001841CB">
        <w:rPr>
          <w:rFonts w:ascii="Bahnschrift" w:hAnsi="Bahnschrift"/>
        </w:rPr>
        <w:t>(4), 331–340. https://doi.org/10.24331/ijere.875912</w:t>
      </w:r>
    </w:p>
    <w:p w14:paraId="3CE4F6A4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D6D695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Department of Education. (2022). </w:t>
      </w:r>
      <w:r w:rsidRPr="001841CB">
        <w:rPr>
          <w:rFonts w:ascii="Bahnschrift" w:hAnsi="Bahnschrift"/>
          <w:i/>
          <w:iCs/>
        </w:rPr>
        <w:t>Basic education report</w:t>
      </w:r>
      <w:r w:rsidRPr="001841CB">
        <w:rPr>
          <w:rFonts w:ascii="Bahnschrift" w:hAnsi="Bahnschrift"/>
        </w:rPr>
        <w:t>. https://www.deped.gov.ph</w:t>
      </w:r>
    </w:p>
    <w:p w14:paraId="6AF2E645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78E49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Desimone, L. M. (2009). Improving impact studies of teachers’ professional development: Toward better conceptualizations and measures. </w:t>
      </w:r>
      <w:r w:rsidRPr="001841CB">
        <w:rPr>
          <w:rFonts w:ascii="Bahnschrift" w:hAnsi="Bahnschrift"/>
          <w:i/>
          <w:iCs/>
        </w:rPr>
        <w:t>Educational Researcher, 38</w:t>
      </w:r>
      <w:r w:rsidRPr="001841CB">
        <w:rPr>
          <w:rFonts w:ascii="Bahnschrift" w:hAnsi="Bahnschrift"/>
        </w:rPr>
        <w:t xml:space="preserve">(3), 181–199. </w:t>
      </w:r>
      <w:r w:rsidRPr="005014B0">
        <w:rPr>
          <w:rFonts w:ascii="Bahnschrift" w:hAnsi="Bahnschrift"/>
          <w:sz w:val="21"/>
          <w:szCs w:val="21"/>
        </w:rPr>
        <w:t>https://doi.org/10.3102/0013189X08331140</w:t>
      </w:r>
    </w:p>
    <w:p w14:paraId="4FE67B0D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0B87C6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1841CB">
        <w:rPr>
          <w:rFonts w:ascii="Bahnschrift" w:hAnsi="Bahnschrift"/>
        </w:rPr>
        <w:t>Etikan</w:t>
      </w:r>
      <w:proofErr w:type="spellEnd"/>
      <w:r w:rsidRPr="001841CB">
        <w:rPr>
          <w:rFonts w:ascii="Bahnschrift" w:hAnsi="Bahnschrift"/>
        </w:rPr>
        <w:t xml:space="preserve">, I., Musa, S. A., &amp; Alkassim, R. S. (2016). Comparison of convenience sampling and purposive sampling. </w:t>
      </w:r>
      <w:r w:rsidRPr="001841CB">
        <w:rPr>
          <w:rFonts w:ascii="Bahnschrift" w:hAnsi="Bahnschrift"/>
          <w:i/>
          <w:iCs/>
        </w:rPr>
        <w:t>American Journal of Theoretical and Applied Statistics, 5</w:t>
      </w:r>
      <w:r w:rsidRPr="001841CB">
        <w:rPr>
          <w:rFonts w:ascii="Bahnschrift" w:hAnsi="Bahnschrift"/>
        </w:rPr>
        <w:t xml:space="preserve">(1), 1–4. </w:t>
      </w:r>
      <w:r w:rsidRPr="005014B0">
        <w:rPr>
          <w:rFonts w:ascii="Bahnschrift" w:hAnsi="Bahnschrift"/>
          <w:sz w:val="21"/>
          <w:szCs w:val="21"/>
        </w:rPr>
        <w:t>https://doi.org/10.11648/j.ajtas.20160501.11</w:t>
      </w:r>
    </w:p>
    <w:p w14:paraId="4D649FE7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363677" w14:textId="4AB93EAE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Field, A. (2020). </w:t>
      </w:r>
      <w:r w:rsidRPr="001841CB">
        <w:rPr>
          <w:rFonts w:ascii="Bahnschrift" w:hAnsi="Bahnschrift"/>
          <w:i/>
          <w:iCs/>
        </w:rPr>
        <w:t>Discovering statistics using IBM SPSS statistics</w:t>
      </w:r>
      <w:r w:rsidRPr="001841CB">
        <w:rPr>
          <w:rFonts w:ascii="Bahnschrift" w:hAnsi="Bahnschrift"/>
        </w:rPr>
        <w:t xml:space="preserve"> (5th ed.). SAGE Publications. https://edge.sagepub.com/field5e</w:t>
      </w:r>
    </w:p>
    <w:p w14:paraId="12D4406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lastRenderedPageBreak/>
        <w:t xml:space="preserve">Fraenkel, J. R., Wallen, N. E., &amp; Hyun, H. H. (2019). </w:t>
      </w:r>
      <w:r w:rsidRPr="001841CB">
        <w:rPr>
          <w:rFonts w:ascii="Bahnschrift" w:hAnsi="Bahnschrift"/>
          <w:i/>
          <w:iCs/>
        </w:rPr>
        <w:t>How to design and evaluate research in education</w:t>
      </w:r>
      <w:r w:rsidRPr="001841CB">
        <w:rPr>
          <w:rFonts w:ascii="Bahnschrift" w:hAnsi="Bahnschrift"/>
        </w:rPr>
        <w:t xml:space="preserve"> (10th ed.). McGraw-Hill Education. https://www.mheducation.com/highered/product/how-design-evaluate-research-education-fraenkel-wallen/M9781259913839.html</w:t>
      </w:r>
    </w:p>
    <w:p w14:paraId="73B7B310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5D727B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>Gess-Newsome, J. (2015). A model of teacher professional knowledge and skill including PCK: Results of the thinking from the PCK Summit. In A. Berry, P. Friedrichsen, &amp; J. Loughran (Eds.),</w:t>
      </w:r>
      <w:r w:rsidRPr="001841CB">
        <w:rPr>
          <w:rFonts w:ascii="Bahnschrift" w:hAnsi="Bahnschrift"/>
          <w:i/>
          <w:iCs/>
        </w:rPr>
        <w:t xml:space="preserve"> Re-examining pedagogical content knowledge in science education </w:t>
      </w:r>
      <w:r w:rsidRPr="001841CB">
        <w:rPr>
          <w:rFonts w:ascii="Bahnschrift" w:hAnsi="Bahnschrift"/>
        </w:rPr>
        <w:t>(pp. 28–42). Routledge. https://doi.org/10.4324/9781315735610-3</w:t>
      </w:r>
    </w:p>
    <w:p w14:paraId="40FDDAAF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BB4B08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Hill, H. C., Ball, D. L., &amp; Schilling, S. G. (2008). Unpacking pedagogical content knowledge: Conceptualizing and measuring teachers’ topic-specific knowledge. </w:t>
      </w:r>
      <w:r w:rsidRPr="001841CB">
        <w:rPr>
          <w:rFonts w:ascii="Bahnschrift" w:hAnsi="Bahnschrift"/>
          <w:i/>
          <w:iCs/>
        </w:rPr>
        <w:t>Journal for Research in</w:t>
      </w:r>
      <w:r w:rsidRPr="001841CB">
        <w:rPr>
          <w:rFonts w:ascii="Bahnschrift" w:hAnsi="Bahnschrift"/>
        </w:rPr>
        <w:t xml:space="preserve"> </w:t>
      </w:r>
      <w:r w:rsidRPr="001841CB">
        <w:rPr>
          <w:rFonts w:ascii="Bahnschrift" w:hAnsi="Bahnschrift"/>
          <w:i/>
          <w:iCs/>
        </w:rPr>
        <w:t>Mathematics Education, 39</w:t>
      </w:r>
      <w:r w:rsidRPr="001841CB">
        <w:rPr>
          <w:rFonts w:ascii="Bahnschrift" w:hAnsi="Bahnschrift"/>
        </w:rPr>
        <w:t>(4), 372–400. https://doi.org/10.5951/jresematheduc.39.4.0372</w:t>
      </w:r>
    </w:p>
    <w:p w14:paraId="5D3A5B7B" w14:textId="77777777" w:rsidR="00BA6C57" w:rsidRPr="001841CB" w:rsidRDefault="00BA6C57" w:rsidP="00BA6C5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2D454E7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Israel, M., &amp; Hay, I. (2021). </w:t>
      </w:r>
      <w:r w:rsidRPr="001841CB">
        <w:rPr>
          <w:rFonts w:ascii="Bahnschrift" w:hAnsi="Bahnschrift"/>
          <w:i/>
          <w:iCs/>
        </w:rPr>
        <w:t>Research ethics for social scientists</w:t>
      </w:r>
      <w:r w:rsidRPr="001841CB">
        <w:rPr>
          <w:rFonts w:ascii="Bahnschrift" w:hAnsi="Bahnschrift"/>
        </w:rPr>
        <w:t xml:space="preserve"> (2nd ed.). SAGE Publications. https://doi.org/10.4135/9781529714578</w:t>
      </w:r>
    </w:p>
    <w:p w14:paraId="46C9E5E1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84B8E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Kini, T., &amp; Podolsky, A. (2016). </w:t>
      </w:r>
      <w:r w:rsidRPr="001841CB">
        <w:rPr>
          <w:rFonts w:ascii="Bahnschrift" w:hAnsi="Bahnschrift"/>
          <w:i/>
          <w:iCs/>
        </w:rPr>
        <w:t>Does teaching experience increase teacher effectiveness? A review of the research.</w:t>
      </w:r>
      <w:r w:rsidRPr="001841CB">
        <w:rPr>
          <w:rFonts w:ascii="Bahnschrift" w:hAnsi="Bahnschrift"/>
        </w:rPr>
        <w:t xml:space="preserve"> Learning Policy Institute. https://learningpolicyinstitute.org/product/teaching-experience-report</w:t>
      </w:r>
    </w:p>
    <w:p w14:paraId="60B6AA1E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A93B2E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König, J., </w:t>
      </w:r>
      <w:proofErr w:type="spellStart"/>
      <w:r w:rsidRPr="001841CB">
        <w:rPr>
          <w:rFonts w:ascii="Bahnschrift" w:hAnsi="Bahnschrift"/>
        </w:rPr>
        <w:t>Blömeke</w:t>
      </w:r>
      <w:proofErr w:type="spellEnd"/>
      <w:r w:rsidRPr="001841CB">
        <w:rPr>
          <w:rFonts w:ascii="Bahnschrift" w:hAnsi="Bahnschrift"/>
        </w:rPr>
        <w:t>, S., &amp; Kaiser, G. (2022). Teacher competence and instructional quality in mathematics education. Teaching and Teacher Education, 112, 103630. https://doi.org/10.1016/j.tate.2022.103630</w:t>
      </w:r>
    </w:p>
    <w:p w14:paraId="29503E56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742EEE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Kraft, M. A., Blazar, D., &amp; Hogan, D. (2018). The effect of teacher coaching on instruction and achievement: A meta-analysis. </w:t>
      </w:r>
      <w:r w:rsidRPr="001841CB">
        <w:rPr>
          <w:rFonts w:ascii="Bahnschrift" w:hAnsi="Bahnschrift"/>
          <w:i/>
          <w:iCs/>
        </w:rPr>
        <w:t>Review of Educational Research, 88</w:t>
      </w:r>
      <w:r w:rsidRPr="001841CB">
        <w:rPr>
          <w:rFonts w:ascii="Bahnschrift" w:hAnsi="Bahnschrift"/>
        </w:rPr>
        <w:t>(4), 547–588. https://doi.org/10.3102/0034654318759268</w:t>
      </w:r>
    </w:p>
    <w:p w14:paraId="32391117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5174C6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Kraft, M. A., &amp; Papay, J. P. (2014). Can professional environments in schools promote teacher development? </w:t>
      </w:r>
      <w:r w:rsidRPr="001841CB">
        <w:rPr>
          <w:rFonts w:ascii="Bahnschrift" w:hAnsi="Bahnschrift"/>
          <w:i/>
          <w:iCs/>
        </w:rPr>
        <w:t>American Educational Research Journal, 51</w:t>
      </w:r>
      <w:r w:rsidRPr="001841CB">
        <w:rPr>
          <w:rFonts w:ascii="Bahnschrift" w:hAnsi="Bahnschrift"/>
        </w:rPr>
        <w:t>(6), 977–1021. https://doi.org/10.3102/0002831213512564</w:t>
      </w:r>
    </w:p>
    <w:p w14:paraId="19F9AC78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5A3796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Krauss, S., Baumert, J., &amp; Blum, W. (2020). Pedagogical content knowledge and mathematics teaching. </w:t>
      </w:r>
      <w:r w:rsidRPr="001841CB">
        <w:rPr>
          <w:rFonts w:ascii="Bahnschrift" w:hAnsi="Bahnschrift"/>
          <w:i/>
          <w:iCs/>
        </w:rPr>
        <w:t>ZDM – Mathematics Education, 52</w:t>
      </w:r>
      <w:r w:rsidRPr="001841CB">
        <w:rPr>
          <w:rFonts w:ascii="Bahnschrift" w:hAnsi="Bahnschrift"/>
        </w:rPr>
        <w:t>, 1–15. https://doi.org/10.1007/s11858-020-01134-5</w:t>
      </w:r>
    </w:p>
    <w:p w14:paraId="12132D9E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C9BBC0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Ling, Y. L., &amp; Mahmud, M. S. (2023). Pedagogical content knowledge and its role in effective teaching practices. </w:t>
      </w:r>
      <w:r w:rsidRPr="001841CB">
        <w:rPr>
          <w:rFonts w:ascii="Bahnschrift" w:hAnsi="Bahnschrift"/>
          <w:i/>
          <w:iCs/>
        </w:rPr>
        <w:t>International Journal of Academic Research in Progressive Education and Development, 12</w:t>
      </w:r>
      <w:r w:rsidRPr="001841CB">
        <w:rPr>
          <w:rFonts w:ascii="Bahnschrift" w:hAnsi="Bahnschrift"/>
        </w:rPr>
        <w:t>(2), 1123–1135. https://doi.org/10.6007/IJARPED/v12-i2/17123</w:t>
      </w:r>
    </w:p>
    <w:p w14:paraId="4A3474D0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9723504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1841CB">
        <w:rPr>
          <w:rFonts w:ascii="Bahnschrift" w:hAnsi="Bahnschrift"/>
        </w:rPr>
        <w:t>Mabonga</w:t>
      </w:r>
      <w:proofErr w:type="spellEnd"/>
      <w:r w:rsidRPr="001841CB">
        <w:rPr>
          <w:rFonts w:ascii="Bahnschrift" w:hAnsi="Bahnschrift"/>
        </w:rPr>
        <w:t xml:space="preserve">, V. A. (2021). Pedagogical content knowledge and teaching effectiveness among educators. </w:t>
      </w:r>
      <w:r w:rsidRPr="001841CB">
        <w:rPr>
          <w:rFonts w:ascii="Bahnschrift" w:hAnsi="Bahnschrift"/>
          <w:i/>
          <w:iCs/>
        </w:rPr>
        <w:t>International Journal of Educational Studies, 4</w:t>
      </w:r>
      <w:r w:rsidRPr="001841CB">
        <w:rPr>
          <w:rFonts w:ascii="Bahnschrift" w:hAnsi="Bahnschrift"/>
        </w:rPr>
        <w:t>(1), 45–56. https://doi.org/10.53935/2641-533x.v4i1.152</w:t>
      </w:r>
    </w:p>
    <w:p w14:paraId="0D68B20C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8336CD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lastRenderedPageBreak/>
        <w:t xml:space="preserve">Mertens, D. M. (2020). </w:t>
      </w:r>
      <w:r w:rsidRPr="001841CB">
        <w:rPr>
          <w:rFonts w:ascii="Bahnschrift" w:hAnsi="Bahnschrift"/>
          <w:i/>
          <w:iCs/>
        </w:rPr>
        <w:t>Research and evaluation in education and psychology: Integrating diversity with quantitative, qualitative, and mixed methods</w:t>
      </w:r>
      <w:r w:rsidRPr="001841CB">
        <w:rPr>
          <w:rFonts w:ascii="Bahnschrift" w:hAnsi="Bahnschrift"/>
        </w:rPr>
        <w:t xml:space="preserve"> (5th ed.). SAGE Publications. https://edge.sagepub.com/mertens5e</w:t>
      </w:r>
    </w:p>
    <w:p w14:paraId="38DA120B" w14:textId="77777777" w:rsidR="00BA6C57" w:rsidRPr="001841CB" w:rsidRDefault="00BA6C57" w:rsidP="00BA6C5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0F2F2FC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1841CB">
        <w:rPr>
          <w:rFonts w:ascii="Bahnschrift" w:hAnsi="Bahnschrift"/>
        </w:rPr>
        <w:t>Organisation</w:t>
      </w:r>
      <w:proofErr w:type="spellEnd"/>
      <w:r w:rsidRPr="001841CB">
        <w:rPr>
          <w:rFonts w:ascii="Bahnschrift" w:hAnsi="Bahnschrift"/>
        </w:rPr>
        <w:t xml:space="preserve"> for Economic Co-operation and Development (OECD). (2019). </w:t>
      </w:r>
      <w:r w:rsidRPr="001841CB">
        <w:rPr>
          <w:rFonts w:ascii="Bahnschrift" w:hAnsi="Bahnschrift"/>
          <w:i/>
          <w:iCs/>
        </w:rPr>
        <w:t>PISA 2018 results: What students know and can do: Volume I.</w:t>
      </w:r>
      <w:r w:rsidRPr="001841CB">
        <w:rPr>
          <w:rFonts w:ascii="Bahnschrift" w:hAnsi="Bahnschrift"/>
        </w:rPr>
        <w:t xml:space="preserve"> OECD Publishing. https://doi.org/10.1787/5f07c754-en</w:t>
      </w:r>
    </w:p>
    <w:p w14:paraId="23606FDC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B01B3F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Popham, W. J. (2009). Assessment literacy for teachers: Faddish or fundamental? </w:t>
      </w:r>
      <w:r w:rsidRPr="001841CB">
        <w:rPr>
          <w:rFonts w:ascii="Bahnschrift" w:hAnsi="Bahnschrift"/>
          <w:i/>
          <w:iCs/>
        </w:rPr>
        <w:t>Theory Into Practice, 48</w:t>
      </w:r>
      <w:r w:rsidRPr="001841CB">
        <w:rPr>
          <w:rFonts w:ascii="Bahnschrift" w:hAnsi="Bahnschrift"/>
        </w:rPr>
        <w:t>(1), 4–11. https://doi.org/10.1080/00405840802577536</w:t>
      </w:r>
    </w:p>
    <w:p w14:paraId="10120EF0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D3D8DE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>Republic of the Philippines. (2001). Republic Act No. 9155: Governance of Basic Education Act of 2001. https://www.officialgazette.gov.ph/2001/08/11/republic-act-no-9155/</w:t>
      </w:r>
    </w:p>
    <w:p w14:paraId="1D3381A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01EF08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Republic of the Philippines. (2013). Republic Act No. 10533: Enhanced Basic Education Act of 2013. </w:t>
      </w:r>
      <w:r w:rsidRPr="001841CB">
        <w:rPr>
          <w:rFonts w:ascii="Bahnschrift" w:hAnsi="Bahnschrift"/>
          <w:i/>
          <w:iCs/>
        </w:rPr>
        <w:t>Official Gazette</w:t>
      </w:r>
      <w:r w:rsidRPr="001841CB">
        <w:rPr>
          <w:rFonts w:ascii="Bahnschrift" w:hAnsi="Bahnschrift"/>
        </w:rPr>
        <w:t>. https://www.officialgazette.gov.ph/2013/05/15/republic-act-no-10533/</w:t>
      </w:r>
    </w:p>
    <w:p w14:paraId="513C006A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E8BBAD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>Department of Education. (2015). Policy guidelines on classroom assessment for the K to 12 Basic Education Program (DepEd Order No. 8, s. 2015). https://www.deped.gov.ph/2015/04/01/do-8-s-2015-policy-guidelines-on-classroom-assessment-for-the-k-to-12-basic-education-program/</w:t>
      </w:r>
    </w:p>
    <w:p w14:paraId="4C74952B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F8B6ABD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>Department of Education. (2016). The Learning Action Cell (LAC) as a K to 12 basic education program school-based continuing professional development strategy (DepEd Order No. 35, s. 2016). https://www.deped.gov.ph/2016/06/07/do-35-s-2016-the-learning-action-cell-as-a-k-to-12-basic-education-program-school-based-continuing-professional-development-strategy-for-the-improvement-of-teaching-and-learning/</w:t>
      </w:r>
    </w:p>
    <w:p w14:paraId="128A9F84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165009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>Department of Education. (2020). National adoption and implementation of the Philippine Professional Standards for School Heads (DepEd Order No. 24, s. 2020). https://www.deped.gov.ph/2020/09/07/do-24-s-2020-national-adoption-and-implementation-of-the-philippine-professional-standards-for-school-heads/</w:t>
      </w:r>
    </w:p>
    <w:p w14:paraId="71D491A8" w14:textId="77777777" w:rsidR="00BA6C57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09553E" w14:textId="3FA681F6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Saunders, M., Lewis, P., &amp; Thornhill, A. (2019). </w:t>
      </w:r>
      <w:r w:rsidRPr="001841CB">
        <w:rPr>
          <w:rFonts w:ascii="Bahnschrift" w:hAnsi="Bahnschrift"/>
          <w:i/>
          <w:iCs/>
        </w:rPr>
        <w:t>Research methods for business students</w:t>
      </w:r>
      <w:r w:rsidRPr="001841CB">
        <w:rPr>
          <w:rFonts w:ascii="Bahnschrift" w:hAnsi="Bahnschrift"/>
        </w:rPr>
        <w:t xml:space="preserve"> (8th ed.). Pearson Education. https://www.pearson.com/en-gb/subject-catalog/p/research-methods-for-business-students/P200000003730/9781292208787</w:t>
      </w:r>
    </w:p>
    <w:p w14:paraId="4B17FB9F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1CE344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Shulman, L. S. (1986). Those who understand: Knowledge growth in teaching. </w:t>
      </w:r>
      <w:r w:rsidRPr="001841CB">
        <w:rPr>
          <w:rFonts w:ascii="Bahnschrift" w:hAnsi="Bahnschrift"/>
          <w:i/>
          <w:iCs/>
        </w:rPr>
        <w:t>Educational Researcher, 15</w:t>
      </w:r>
      <w:r w:rsidRPr="001841CB">
        <w:rPr>
          <w:rFonts w:ascii="Bahnschrift" w:hAnsi="Bahnschrift"/>
        </w:rPr>
        <w:t>(2), 4–14. https://doi.org/10.3102/0013189X015002004</w:t>
      </w:r>
    </w:p>
    <w:p w14:paraId="5947A61B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BC4422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Snyder, H. (2019). Literature review as a research methodology: An overview and guidelines. </w:t>
      </w:r>
      <w:r w:rsidRPr="001841CB">
        <w:rPr>
          <w:rFonts w:ascii="Bahnschrift" w:hAnsi="Bahnschrift"/>
          <w:i/>
          <w:iCs/>
        </w:rPr>
        <w:t>Journal of Business Research, 104</w:t>
      </w:r>
      <w:r w:rsidRPr="001841CB">
        <w:rPr>
          <w:rFonts w:ascii="Bahnschrift" w:hAnsi="Bahnschrift"/>
        </w:rPr>
        <w:t>, 333–339. https://doi.org/10.1016/j.jbusres.2019.07.039</w:t>
      </w:r>
    </w:p>
    <w:p w14:paraId="4D8E9C86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17A827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1841CB">
        <w:rPr>
          <w:rFonts w:ascii="Bahnschrift" w:hAnsi="Bahnschrift"/>
        </w:rPr>
        <w:lastRenderedPageBreak/>
        <w:t>Taherdoost</w:t>
      </w:r>
      <w:proofErr w:type="spellEnd"/>
      <w:r w:rsidRPr="001841CB">
        <w:rPr>
          <w:rFonts w:ascii="Bahnschrift" w:hAnsi="Bahnschrift"/>
        </w:rPr>
        <w:t xml:space="preserve">, H. (2017). Sampling methods in research methodology: How to choose a sampling technique for research. </w:t>
      </w:r>
      <w:r w:rsidRPr="001841CB">
        <w:rPr>
          <w:rFonts w:ascii="Bahnschrift" w:hAnsi="Bahnschrift"/>
          <w:i/>
          <w:iCs/>
        </w:rPr>
        <w:t>International Journal of Academic Research in Management, 5</w:t>
      </w:r>
      <w:r w:rsidRPr="001841CB">
        <w:rPr>
          <w:rFonts w:ascii="Bahnschrift" w:hAnsi="Bahnschrift"/>
        </w:rPr>
        <w:t>(2), 18–27. https://doi.org/10.2139/ssrn.3205035</w:t>
      </w:r>
    </w:p>
    <w:p w14:paraId="6D9ADA73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BB5866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TIMSS &amp; PIRLS International Study Center. (2020). </w:t>
      </w:r>
      <w:r w:rsidRPr="001841CB">
        <w:rPr>
          <w:rFonts w:ascii="Bahnschrift" w:hAnsi="Bahnschrift"/>
          <w:i/>
          <w:iCs/>
        </w:rPr>
        <w:t>TIMSS 2019 international results in mathematics and science</w:t>
      </w:r>
      <w:r w:rsidRPr="001841CB">
        <w:rPr>
          <w:rFonts w:ascii="Bahnschrift" w:hAnsi="Bahnschrift"/>
        </w:rPr>
        <w:t>. Boston College. https://timssandpirls.bc.edu/timss2019/international-results/</w:t>
      </w:r>
    </w:p>
    <w:p w14:paraId="763B2D2C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40F54F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Tomlinson, C. A. (2014). </w:t>
      </w:r>
      <w:r w:rsidRPr="001841CB">
        <w:rPr>
          <w:rFonts w:ascii="Bahnschrift" w:hAnsi="Bahnschrift"/>
          <w:i/>
          <w:iCs/>
        </w:rPr>
        <w:t>The differentiated classroom: Responding to the needs of all learners</w:t>
      </w:r>
      <w:r w:rsidRPr="001841CB">
        <w:rPr>
          <w:rFonts w:ascii="Bahnschrift" w:hAnsi="Bahnschrift"/>
        </w:rPr>
        <w:t>. ASCD. https://www.ascd.org</w:t>
      </w:r>
    </w:p>
    <w:p w14:paraId="720FA925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D8DB4A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Tomlinson, C. A. (2017). </w:t>
      </w:r>
      <w:r w:rsidRPr="001841CB">
        <w:rPr>
          <w:rFonts w:ascii="Bahnschrift" w:hAnsi="Bahnschrift"/>
          <w:i/>
          <w:iCs/>
        </w:rPr>
        <w:t>How to differentiate instruction in academically diverse classrooms</w:t>
      </w:r>
      <w:r w:rsidRPr="001841CB">
        <w:rPr>
          <w:rFonts w:ascii="Bahnschrift" w:hAnsi="Bahnschrift"/>
        </w:rPr>
        <w:t xml:space="preserve"> (3rd ed.). ASCD. https://www.ascd.org</w:t>
      </w:r>
    </w:p>
    <w:p w14:paraId="6361809E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902C54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1841CB">
        <w:rPr>
          <w:rFonts w:ascii="Bahnschrift" w:hAnsi="Bahnschrift"/>
        </w:rPr>
        <w:t>Toropova</w:t>
      </w:r>
      <w:proofErr w:type="spellEnd"/>
      <w:r w:rsidRPr="001841CB">
        <w:rPr>
          <w:rFonts w:ascii="Bahnschrift" w:hAnsi="Bahnschrift"/>
        </w:rPr>
        <w:t xml:space="preserve">, A., Johansson, S., &amp; </w:t>
      </w:r>
      <w:proofErr w:type="spellStart"/>
      <w:r w:rsidRPr="001841CB">
        <w:rPr>
          <w:rFonts w:ascii="Bahnschrift" w:hAnsi="Bahnschrift"/>
        </w:rPr>
        <w:t>Myrberg</w:t>
      </w:r>
      <w:proofErr w:type="spellEnd"/>
      <w:r w:rsidRPr="001841CB">
        <w:rPr>
          <w:rFonts w:ascii="Bahnschrift" w:hAnsi="Bahnschrift"/>
        </w:rPr>
        <w:t xml:space="preserve">, E. (2021). The role of teacher characteristics in student achievement. </w:t>
      </w:r>
      <w:r w:rsidRPr="001841CB">
        <w:rPr>
          <w:rFonts w:ascii="Bahnschrift" w:hAnsi="Bahnschrift"/>
          <w:i/>
          <w:iCs/>
        </w:rPr>
        <w:t>Teaching and Teacher Education, 98</w:t>
      </w:r>
      <w:r w:rsidRPr="001841CB">
        <w:rPr>
          <w:rFonts w:ascii="Bahnschrift" w:hAnsi="Bahnschrift"/>
        </w:rPr>
        <w:t>, 103236. https://doi.org/10.1016/j.tate.2020.103236</w:t>
      </w:r>
    </w:p>
    <w:p w14:paraId="6C0160D0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EC04A6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United Nations Educational, Scientific and Cultural Organization. (2020). </w:t>
      </w:r>
      <w:r w:rsidRPr="001841CB">
        <w:rPr>
          <w:rFonts w:ascii="Bahnschrift" w:hAnsi="Bahnschrift"/>
          <w:i/>
          <w:iCs/>
        </w:rPr>
        <w:t>Global education monitoring report 2020: Inclusion and education</w:t>
      </w:r>
      <w:r w:rsidRPr="001841CB">
        <w:rPr>
          <w:rFonts w:ascii="Bahnschrift" w:hAnsi="Bahnschrift"/>
        </w:rPr>
        <w:t>. https://unesdoc.unesco.org</w:t>
      </w:r>
    </w:p>
    <w:p w14:paraId="787B1C28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5F43227" w14:textId="77777777" w:rsidR="00BA6C57" w:rsidRPr="001841CB" w:rsidRDefault="00BA6C57" w:rsidP="00BA6C57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841CB">
        <w:rPr>
          <w:rFonts w:ascii="Bahnschrift" w:hAnsi="Bahnschrift"/>
        </w:rPr>
        <w:t xml:space="preserve">World Bank. (2018). </w:t>
      </w:r>
      <w:r w:rsidRPr="001841CB">
        <w:rPr>
          <w:rFonts w:ascii="Bahnschrift" w:hAnsi="Bahnschrift"/>
          <w:i/>
          <w:iCs/>
        </w:rPr>
        <w:t>World development report: Learning to realize education’s promise</w:t>
      </w:r>
      <w:r w:rsidRPr="001841CB">
        <w:rPr>
          <w:rFonts w:ascii="Bahnschrift" w:hAnsi="Bahnschrift"/>
        </w:rPr>
        <w:t>. https://doi.org/10.1596/978-1-4648-1096-1</w:t>
      </w:r>
    </w:p>
    <w:p w14:paraId="1DCC34C7" w14:textId="77777777" w:rsidR="00B517BC" w:rsidRPr="0076460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76460C" w:rsidRDefault="00671F20" w:rsidP="00FE2FD1">
      <w:pPr>
        <w:rPr>
          <w:sz w:val="24"/>
          <w:szCs w:val="24"/>
          <w:lang w:val="en-US"/>
        </w:rPr>
      </w:pPr>
    </w:p>
    <w:p w14:paraId="5CF7CE56" w14:textId="77777777" w:rsidR="0076460C" w:rsidRPr="0076460C" w:rsidRDefault="0076460C">
      <w:pPr>
        <w:rPr>
          <w:sz w:val="24"/>
          <w:szCs w:val="24"/>
          <w:lang w:val="en-US"/>
        </w:rPr>
      </w:pPr>
    </w:p>
    <w:sectPr w:rsidR="0076460C" w:rsidRPr="0076460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9BC0C" w14:textId="77777777" w:rsidR="008363B5" w:rsidRDefault="008363B5" w:rsidP="00290EE2">
      <w:pPr>
        <w:spacing w:after="0" w:line="240" w:lineRule="auto"/>
      </w:pPr>
      <w:r>
        <w:separator/>
      </w:r>
    </w:p>
  </w:endnote>
  <w:endnote w:type="continuationSeparator" w:id="0">
    <w:p w14:paraId="24B4C6E9" w14:textId="77777777" w:rsidR="008363B5" w:rsidRDefault="008363B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C289F" w14:textId="77777777" w:rsidR="008363B5" w:rsidRDefault="008363B5" w:rsidP="00290EE2">
      <w:pPr>
        <w:spacing w:after="0" w:line="240" w:lineRule="auto"/>
      </w:pPr>
      <w:r>
        <w:separator/>
      </w:r>
    </w:p>
  </w:footnote>
  <w:footnote w:type="continuationSeparator" w:id="0">
    <w:p w14:paraId="45E44DFD" w14:textId="77777777" w:rsidR="008363B5" w:rsidRDefault="008363B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0F6515"/>
    <w:rsid w:val="001537E9"/>
    <w:rsid w:val="001803A8"/>
    <w:rsid w:val="001E51ED"/>
    <w:rsid w:val="001F54EA"/>
    <w:rsid w:val="00246867"/>
    <w:rsid w:val="002776A5"/>
    <w:rsid w:val="00290EE2"/>
    <w:rsid w:val="002B6FCA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6460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34DC8"/>
    <w:rsid w:val="008363B5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A6C57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25B"/>
    <w:rsid w:val="00DE69B0"/>
    <w:rsid w:val="00DF30A2"/>
    <w:rsid w:val="00DF5CBF"/>
    <w:rsid w:val="00E02438"/>
    <w:rsid w:val="00E03E24"/>
    <w:rsid w:val="00E127EF"/>
    <w:rsid w:val="00E203A6"/>
    <w:rsid w:val="00E5333A"/>
    <w:rsid w:val="00E84A47"/>
    <w:rsid w:val="00EA227F"/>
    <w:rsid w:val="00EB2813"/>
    <w:rsid w:val="00EC4E5D"/>
    <w:rsid w:val="00ED56E4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C5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4</Pages>
  <Words>1291</Words>
  <Characters>7362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57</cp:revision>
  <cp:lastPrinted>2026-02-21T05:03:00Z</cp:lastPrinted>
  <dcterms:created xsi:type="dcterms:W3CDTF">2025-12-03T11:08:00Z</dcterms:created>
  <dcterms:modified xsi:type="dcterms:W3CDTF">2026-07-14T14:46:00Z</dcterms:modified>
</cp:coreProperties>
</file>