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9EB6" w14:textId="77777777" w:rsidR="00BA6C57" w:rsidRPr="001841CB" w:rsidRDefault="00BA6C57" w:rsidP="00BA6C57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1841CB">
        <w:rPr>
          <w:rFonts w:ascii="Arial Rounded MT Bold" w:hAnsi="Arial Rounded MT Bold"/>
          <w:b/>
          <w:bCs/>
        </w:rPr>
        <w:t>REFERENCES</w:t>
      </w:r>
    </w:p>
    <w:p w14:paraId="7C23B061" w14:textId="77777777" w:rsidR="00BC2262" w:rsidRPr="00320ACA" w:rsidRDefault="00BC2262" w:rsidP="00BC2262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003263B7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Ajzen, I. (1991). The theory of planned behavior. </w:t>
      </w:r>
      <w:r w:rsidRPr="002F5105">
        <w:rPr>
          <w:rFonts w:ascii="Bahnschrift" w:hAnsi="Bahnschrift"/>
          <w:i/>
          <w:iCs/>
        </w:rPr>
        <w:t>Organizational Behavior and Human Decision Processes, 50</w:t>
      </w:r>
      <w:r w:rsidRPr="002F5105">
        <w:rPr>
          <w:rFonts w:ascii="Bahnschrift" w:hAnsi="Bahnschrift"/>
        </w:rPr>
        <w:t xml:space="preserve">(2), 179–211. https://doi.org/10.1016/0749-5978(91)90020-T </w:t>
      </w:r>
    </w:p>
    <w:p w14:paraId="28281B4E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5AC3F2E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Asian Development Bank. (2024). </w:t>
      </w:r>
      <w:r w:rsidRPr="002F5105">
        <w:rPr>
          <w:rFonts w:ascii="Bahnschrift" w:hAnsi="Bahnschrift"/>
          <w:i/>
          <w:iCs/>
        </w:rPr>
        <w:t xml:space="preserve">2024 development effectiveness review. </w:t>
      </w:r>
      <w:r w:rsidRPr="002F5105">
        <w:rPr>
          <w:rFonts w:ascii="Bahnschrift" w:hAnsi="Bahnschrift"/>
        </w:rPr>
        <w:t>Remittances and household expenditures in the Philippines. Asian Development Bank. https://www.adb.org/sites/default/files/institutional-document/1047736/2024-development- effectiveness-review.pdf</w:t>
      </w:r>
    </w:p>
    <w:p w14:paraId="5C008048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A462951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Atkinson, A., &amp; Messy, F.-A. (2012). </w:t>
      </w:r>
      <w:r w:rsidRPr="002F5105">
        <w:rPr>
          <w:rFonts w:ascii="Bahnschrift" w:hAnsi="Bahnschrift"/>
          <w:i/>
          <w:iCs/>
        </w:rPr>
        <w:t>Measuring financial literacy: Results of the OECD/International Network on Financial Education (INFE) pilot study</w:t>
      </w:r>
      <w:r w:rsidRPr="002F5105">
        <w:rPr>
          <w:rFonts w:ascii="Bahnschrift" w:hAnsi="Bahnschrift"/>
        </w:rPr>
        <w:t xml:space="preserve"> (OECD Working Papers on Finance, Insurance and Private Pensions No. 15). OECD Publishing. https://doi.org/10.1787/5k9csfs90fr4-en</w:t>
      </w:r>
    </w:p>
    <w:p w14:paraId="10ABD621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B427154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Friede, G., Busch, T., &amp; Bassen, A. (2015). ESG and financial performance: Aggregated evidence from more than 2000 empirical studies. </w:t>
      </w:r>
      <w:r w:rsidRPr="002F5105">
        <w:rPr>
          <w:rFonts w:ascii="Bahnschrift" w:hAnsi="Bahnschrift"/>
          <w:i/>
          <w:iCs/>
        </w:rPr>
        <w:t>Journal of Sustainable Finance &amp; Investment, 5</w:t>
      </w:r>
      <w:r w:rsidRPr="002F5105">
        <w:rPr>
          <w:rFonts w:ascii="Bahnschrift" w:hAnsi="Bahnschrift"/>
        </w:rPr>
        <w:t>(4), 210–233. https://doi.org/10.1080/20430795.2015.1118917</w:t>
      </w:r>
    </w:p>
    <w:p w14:paraId="48950FD1" w14:textId="77777777" w:rsidR="00BC2262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F0265FA" w14:textId="5B4D8931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Hwang, H., &amp; Park, H. I. (2023). The relationships of financial literacy with both financial behavior and financial well-being: Meta-analyses based on the selective literature review. </w:t>
      </w:r>
      <w:r w:rsidRPr="002F5105">
        <w:rPr>
          <w:rFonts w:ascii="Bahnschrift" w:hAnsi="Bahnschrift"/>
          <w:i/>
          <w:iCs/>
        </w:rPr>
        <w:t>Journal of Consumer Affairs, 57</w:t>
      </w:r>
      <w:r w:rsidRPr="002F5105">
        <w:rPr>
          <w:rFonts w:ascii="Bahnschrift" w:hAnsi="Bahnschrift"/>
        </w:rPr>
        <w:t>(1), 222–244. https://doi.org/10.1111/joca.12497</w:t>
      </w:r>
    </w:p>
    <w:p w14:paraId="0A0F0615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D691A6F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Kaiser, T., Lusardi, A., Menkhoff, L., &amp; Urban, C. (2022). Financial education affects financial knowledge and downstream behaviors. </w:t>
      </w:r>
      <w:r w:rsidRPr="002F5105">
        <w:rPr>
          <w:rFonts w:ascii="Bahnschrift" w:hAnsi="Bahnschrift"/>
          <w:i/>
          <w:iCs/>
        </w:rPr>
        <w:t>Journal of Financial Economics, 145</w:t>
      </w:r>
      <w:r w:rsidRPr="002F5105">
        <w:rPr>
          <w:rFonts w:ascii="Bahnschrift" w:hAnsi="Bahnschrift"/>
        </w:rPr>
        <w:t>(2), 255–272. https://doi.org/10.1016/j.jfineco.2021.09.022</w:t>
      </w:r>
    </w:p>
    <w:p w14:paraId="4428071D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EA5C7DD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Lusardi, A., &amp; Messy, F. A. (2023). The importance of financial literacy and its impact on financial well-being. </w:t>
      </w:r>
      <w:r w:rsidRPr="002F5105">
        <w:rPr>
          <w:rFonts w:ascii="Bahnschrift" w:hAnsi="Bahnschrift"/>
          <w:i/>
          <w:iCs/>
        </w:rPr>
        <w:t>Journal of Financial Literacy and Wellbeing, 1</w:t>
      </w:r>
      <w:r w:rsidRPr="002F5105">
        <w:rPr>
          <w:rFonts w:ascii="Bahnschrift" w:hAnsi="Bahnschrift"/>
        </w:rPr>
        <w:t>(1), 1–11. https://doi.org/10.1017/flw.2023.8</w:t>
      </w:r>
    </w:p>
    <w:p w14:paraId="48F14B71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BE805F0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Lusardi, A., &amp; Mitchell, O. S. (2014). The economic importance of financial literacy: Theory and evidence. </w:t>
      </w:r>
      <w:r w:rsidRPr="002F5105">
        <w:rPr>
          <w:rFonts w:ascii="Bahnschrift" w:hAnsi="Bahnschrift"/>
          <w:i/>
          <w:iCs/>
        </w:rPr>
        <w:t>Journal of Economic Literature, 52</w:t>
      </w:r>
      <w:r w:rsidRPr="002F5105">
        <w:rPr>
          <w:rFonts w:ascii="Bahnschrift" w:hAnsi="Bahnschrift"/>
        </w:rPr>
        <w:t>(1), 5–44. https://doi.org/10.1257/jel.52.1.5</w:t>
      </w:r>
    </w:p>
    <w:p w14:paraId="3F38CADD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0CB51BD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Organization for Economic Co-operation and Development [OECD]. (2020). </w:t>
      </w:r>
      <w:r w:rsidRPr="002F5105">
        <w:rPr>
          <w:rFonts w:ascii="Bahnschrift" w:hAnsi="Bahnschrift"/>
          <w:i/>
          <w:iCs/>
        </w:rPr>
        <w:t>OECD/INFE 2020 international survey of adult financial literacy</w:t>
      </w:r>
      <w:r w:rsidRPr="002F5105">
        <w:rPr>
          <w:rFonts w:ascii="Bahnschrift" w:hAnsi="Bahnschrift"/>
        </w:rPr>
        <w:t>. https://www.oecd.org/financial/education/oecd-infe-2020-international-survey-of-adult-financial-   literacy.pdf</w:t>
      </w:r>
    </w:p>
    <w:p w14:paraId="130B5DC9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6199C3F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Philippine Statistics Authority. (2023). </w:t>
      </w:r>
      <w:r w:rsidRPr="002F5105">
        <w:rPr>
          <w:rFonts w:ascii="Bahnschrift" w:hAnsi="Bahnschrift"/>
          <w:i/>
          <w:iCs/>
        </w:rPr>
        <w:t>Survey on Overseas Filipinos 2022</w:t>
      </w:r>
      <w:r w:rsidRPr="002F5105">
        <w:rPr>
          <w:rFonts w:ascii="Bahnschrift" w:hAnsi="Bahnschrift"/>
        </w:rPr>
        <w:t>. https://psa.gov.ph/statistics/survey/labor-and-employment/survey-overseas-filipinos</w:t>
      </w:r>
    </w:p>
    <w:p w14:paraId="0F8BF305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6F6C59C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Renneboog, L., Ter Horst, J., &amp; Zhang, C. (2008). Socially responsible investments: Institutional aspects, performance, and investor behavior. </w:t>
      </w:r>
      <w:r w:rsidRPr="002F5105">
        <w:rPr>
          <w:rFonts w:ascii="Bahnschrift" w:hAnsi="Bahnschrift"/>
          <w:i/>
          <w:iCs/>
        </w:rPr>
        <w:t>Journal of Banking &amp; Finance, 32</w:t>
      </w:r>
      <w:r w:rsidRPr="002F5105">
        <w:rPr>
          <w:rFonts w:ascii="Bahnschrift" w:hAnsi="Bahnschrift"/>
        </w:rPr>
        <w:t>(9), 1723–1742. https://doi.org/10.1016/j.jbankfin.2007.12.039</w:t>
      </w:r>
    </w:p>
    <w:p w14:paraId="4407AD64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C5DC5AF" w14:textId="198C97CD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Shefrin, H. M., &amp; Thaler, R. H. (1988). The behavioral life-cycle hypothesis. </w:t>
      </w:r>
      <w:r w:rsidRPr="002F5105">
        <w:rPr>
          <w:rFonts w:ascii="Bahnschrift" w:hAnsi="Bahnschrift"/>
          <w:i/>
          <w:iCs/>
        </w:rPr>
        <w:t>Economic Inquiry, 26</w:t>
      </w:r>
      <w:r w:rsidRPr="002F5105">
        <w:rPr>
          <w:rFonts w:ascii="Bahnschrift" w:hAnsi="Bahnschrift"/>
        </w:rPr>
        <w:t>(4), 609–643. https://doi.org/10.1111/j.1465-7295.1988.tb01520.x</w:t>
      </w:r>
    </w:p>
    <w:p w14:paraId="74759BB8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lastRenderedPageBreak/>
        <w:t xml:space="preserve">Xiao, J. J., &amp; Porto, N. (2017). Financial education and financial satisfaction: Financial literacy, behavior, and capability as mediators. </w:t>
      </w:r>
      <w:r w:rsidRPr="002F5105">
        <w:rPr>
          <w:rFonts w:ascii="Bahnschrift" w:hAnsi="Bahnschrift"/>
          <w:i/>
          <w:iCs/>
        </w:rPr>
        <w:t>International Journal of Bank Marketing, 35</w:t>
      </w:r>
      <w:r w:rsidRPr="002F5105">
        <w:rPr>
          <w:rFonts w:ascii="Bahnschrift" w:hAnsi="Bahnschrift"/>
        </w:rPr>
        <w:t>(5), 805–817. https://doi.org/10.1108/IJBM-01-2016-0009</w:t>
      </w:r>
    </w:p>
    <w:p w14:paraId="5EE3D72E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5C2EAEE" w14:textId="77777777" w:rsidR="00BC2262" w:rsidRPr="002F5105" w:rsidRDefault="00BC2262" w:rsidP="00BC2262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F5105">
        <w:rPr>
          <w:rFonts w:ascii="Bahnschrift" w:hAnsi="Bahnschrift"/>
        </w:rPr>
        <w:t xml:space="preserve">Yap, J. T., Reyes, C. M., &amp; Cuenca, J. S. (2023). </w:t>
      </w:r>
      <w:r w:rsidRPr="002F5105">
        <w:rPr>
          <w:rFonts w:ascii="Bahnschrift" w:hAnsi="Bahnschrift"/>
          <w:i/>
          <w:iCs/>
        </w:rPr>
        <w:t>Financial literacy, remittance behavior, and investment participation of OFWs in selected host countries</w:t>
      </w:r>
      <w:r w:rsidRPr="002F5105">
        <w:rPr>
          <w:rFonts w:ascii="Bahnschrift" w:hAnsi="Bahnschrift"/>
        </w:rPr>
        <w:t xml:space="preserve"> (Discussion Paper Series No. 2023-02). Philippine Institute for Development Studies. https://pidswebs.pids.gov.ph/CDN/document/pidsepm2023-2024.pdf 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B240C" w14:textId="77777777" w:rsidR="00D20164" w:rsidRDefault="00D20164" w:rsidP="00290EE2">
      <w:pPr>
        <w:spacing w:after="0" w:line="240" w:lineRule="auto"/>
      </w:pPr>
      <w:r>
        <w:separator/>
      </w:r>
    </w:p>
  </w:endnote>
  <w:endnote w:type="continuationSeparator" w:id="0">
    <w:p w14:paraId="4C9616A0" w14:textId="77777777" w:rsidR="00D20164" w:rsidRDefault="00D20164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EADE2" w14:textId="77777777" w:rsidR="00D20164" w:rsidRDefault="00D20164" w:rsidP="00290EE2">
      <w:pPr>
        <w:spacing w:after="0" w:line="240" w:lineRule="auto"/>
      </w:pPr>
      <w:r>
        <w:separator/>
      </w:r>
    </w:p>
  </w:footnote>
  <w:footnote w:type="continuationSeparator" w:id="0">
    <w:p w14:paraId="688D4993" w14:textId="77777777" w:rsidR="00D20164" w:rsidRDefault="00D20164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776A5"/>
    <w:rsid w:val="00290EE2"/>
    <w:rsid w:val="002B6FCA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363B5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A6C57"/>
    <w:rsid w:val="00BC226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0164"/>
    <w:rsid w:val="00D21FD1"/>
    <w:rsid w:val="00D269F4"/>
    <w:rsid w:val="00D56D5A"/>
    <w:rsid w:val="00D63BE3"/>
    <w:rsid w:val="00D86FE1"/>
    <w:rsid w:val="00D90040"/>
    <w:rsid w:val="00DC7E96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127EF"/>
    <w:rsid w:val="00E203A6"/>
    <w:rsid w:val="00E5333A"/>
    <w:rsid w:val="00E84A47"/>
    <w:rsid w:val="00EA227F"/>
    <w:rsid w:val="00EB2813"/>
    <w:rsid w:val="00EC4E5D"/>
    <w:rsid w:val="00ED56E4"/>
    <w:rsid w:val="00F04034"/>
    <w:rsid w:val="00F23CBA"/>
    <w:rsid w:val="00F33384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C5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58</cp:revision>
  <cp:lastPrinted>2026-02-21T05:03:00Z</cp:lastPrinted>
  <dcterms:created xsi:type="dcterms:W3CDTF">2025-12-03T11:08:00Z</dcterms:created>
  <dcterms:modified xsi:type="dcterms:W3CDTF">2026-07-14T14:48:00Z</dcterms:modified>
</cp:coreProperties>
</file>