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8214D" w14:textId="77777777" w:rsidR="00397F94" w:rsidRPr="00774D86" w:rsidRDefault="00397F94" w:rsidP="00397F94">
      <w:pPr>
        <w:suppressLineNumbers/>
        <w:spacing w:after="0" w:line="240" w:lineRule="auto"/>
        <w:jc w:val="both"/>
        <w:rPr>
          <w:rFonts w:ascii="Arial Rounded MT Bold" w:hAnsi="Arial Rounded MT Bold"/>
          <w:b/>
          <w:bCs/>
        </w:rPr>
      </w:pPr>
      <w:r w:rsidRPr="00774D86">
        <w:rPr>
          <w:rFonts w:ascii="Arial Rounded MT Bold" w:hAnsi="Arial Rounded MT Bold"/>
          <w:b/>
          <w:bCs/>
        </w:rPr>
        <w:t>REFERENCES</w:t>
      </w:r>
    </w:p>
    <w:p w14:paraId="51125742" w14:textId="77777777" w:rsidR="00397F94" w:rsidRPr="00774D86" w:rsidRDefault="00397F94" w:rsidP="00397F94">
      <w:pPr>
        <w:suppressLineNumbers/>
        <w:spacing w:after="0" w:line="240" w:lineRule="auto"/>
        <w:jc w:val="both"/>
        <w:rPr>
          <w:rFonts w:ascii="Bahnschrift" w:hAnsi="Bahnschrift"/>
        </w:rPr>
      </w:pPr>
    </w:p>
    <w:p w14:paraId="47AA5DB0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Antonio, I. C., &amp; Magante, M. C. (2023). A Study on the Influence of Digital Finance on Bank Account Ownership of Filipinos. </w:t>
      </w:r>
      <w:r w:rsidRPr="00FA0C5B">
        <w:rPr>
          <w:rFonts w:ascii="Bahnschrift" w:hAnsi="Bahnschrift" w:cs="Arial"/>
          <w:i/>
          <w:iCs/>
          <w:noProof/>
        </w:rPr>
        <w:t>Asia-Pacific Social Science Review, 23</w:t>
      </w:r>
      <w:r w:rsidRPr="00FA0C5B">
        <w:rPr>
          <w:rFonts w:ascii="Bahnschrift" w:hAnsi="Bahnschrift" w:cs="Arial"/>
          <w:noProof/>
        </w:rPr>
        <w:t>(4). https://doi.org/10.59588/2350-8329.1513</w:t>
      </w:r>
    </w:p>
    <w:p w14:paraId="4FC5B78E" w14:textId="77777777" w:rsidR="00397F94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DD8F330" w14:textId="6A8D74C6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Bakare, O., Achumie, G., &amp; Okeke, N. (2024). Revolutionizing financial inclusion through strategic API integration and innovation. </w:t>
      </w:r>
      <w:r w:rsidRPr="00FA0C5B">
        <w:rPr>
          <w:rFonts w:ascii="Bahnschrift" w:hAnsi="Bahnschrift" w:cs="Arial"/>
          <w:i/>
          <w:iCs/>
          <w:noProof/>
        </w:rPr>
        <w:t>Finance &amp; Accounting Research Journal, 6</w:t>
      </w:r>
      <w:r w:rsidRPr="00FA0C5B">
        <w:rPr>
          <w:rFonts w:ascii="Bahnschrift" w:hAnsi="Bahnschrift" w:cs="Arial"/>
          <w:noProof/>
        </w:rPr>
        <w:t>, 1832–1860. https://doi.org/10.51594/farj.v6i10.1624</w:t>
      </w:r>
    </w:p>
    <w:p w14:paraId="36F678DE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28879D03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Braun, V., &amp; Clarke, V. (2006). Using thematic analysis in psychology. </w:t>
      </w:r>
      <w:r w:rsidRPr="00FA0C5B">
        <w:rPr>
          <w:rFonts w:ascii="Bahnschrift" w:hAnsi="Bahnschrift" w:cs="Arial"/>
          <w:i/>
          <w:iCs/>
          <w:noProof/>
        </w:rPr>
        <w:t>Qualitative Research in Psychology, 3</w:t>
      </w:r>
      <w:r w:rsidRPr="00FA0C5B">
        <w:rPr>
          <w:rFonts w:ascii="Bahnschrift" w:hAnsi="Bahnschrift" w:cs="Arial"/>
          <w:noProof/>
        </w:rPr>
        <w:t>(2), 77–101. https://doi.org/10.1191/1478088706qp063oa</w:t>
      </w:r>
    </w:p>
    <w:p w14:paraId="759F570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7CDB7B31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Braun, V., &amp; Clarke, V. (2019). Reflecting on reflexive thematic analysis. </w:t>
      </w:r>
      <w:r w:rsidRPr="00FA0C5B">
        <w:rPr>
          <w:rFonts w:ascii="Bahnschrift" w:hAnsi="Bahnschrift" w:cs="Arial"/>
          <w:i/>
          <w:iCs/>
          <w:noProof/>
        </w:rPr>
        <w:t>Qualitative Research in Sport, Exercise and Health, 11</w:t>
      </w:r>
      <w:r w:rsidRPr="00FA0C5B">
        <w:rPr>
          <w:rFonts w:ascii="Bahnschrift" w:hAnsi="Bahnschrift" w:cs="Arial"/>
          <w:noProof/>
        </w:rPr>
        <w:t>(4), 589–597. https://doi.org/10.1080/2159676X.2019.1628806</w:t>
      </w:r>
    </w:p>
    <w:p w14:paraId="0B11EF2E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4A116C3C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Bangko Sentral ng Pilipinas (BSP). (2020). </w:t>
      </w:r>
      <w:r w:rsidRPr="00FA0C5B">
        <w:rPr>
          <w:rFonts w:ascii="Bahnschrift" w:hAnsi="Bahnschrift" w:cs="Arial"/>
          <w:i/>
          <w:iCs/>
          <w:noProof/>
        </w:rPr>
        <w:t>Digital Payments Transformation Roadmap Report 2020-2023. 1</w:t>
      </w:r>
      <w:r w:rsidRPr="00FA0C5B">
        <w:rPr>
          <w:rFonts w:ascii="Bahnschrift" w:hAnsi="Bahnschrift" w:cs="Arial"/>
          <w:noProof/>
        </w:rPr>
        <w:t>, 1–38. https://www.bsp.gov.ph/Media_And_Research/Primers Faqs/Digital Payments Transformation Roadmap Report.pdf</w:t>
      </w:r>
    </w:p>
    <w:p w14:paraId="1972204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4A4DF008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Bangko Sentral ng Pilipinas (BSP). (2021). </w:t>
      </w:r>
      <w:r w:rsidRPr="00FA0C5B">
        <w:rPr>
          <w:rFonts w:ascii="Bahnschrift" w:hAnsi="Bahnschrift" w:cs="Arial"/>
          <w:i/>
          <w:iCs/>
          <w:noProof/>
        </w:rPr>
        <w:t>Circular No. 1122: Open Finance Framework.</w:t>
      </w:r>
      <w:r w:rsidRPr="00FA0C5B">
        <w:rPr>
          <w:rFonts w:ascii="Bahnschrift" w:hAnsi="Bahnschrift" w:cs="Arial"/>
          <w:noProof/>
        </w:rPr>
        <w:t xml:space="preserve"> https://www.bsp.gov.ph/Regulations/Issuances/2021/1122.pdf</w:t>
      </w:r>
    </w:p>
    <w:p w14:paraId="2AFE3661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7578E80C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Bangko Sentral ng Pilipinas (BSP). (2022). </w:t>
      </w:r>
      <w:r w:rsidRPr="00FA0C5B">
        <w:rPr>
          <w:rFonts w:ascii="Bahnschrift" w:hAnsi="Bahnschrift" w:cs="Arial"/>
          <w:i/>
          <w:iCs/>
          <w:noProof/>
        </w:rPr>
        <w:t>Circular No. 1153: Regulatory Sandbox Framework.</w:t>
      </w:r>
      <w:r w:rsidRPr="00FA0C5B">
        <w:rPr>
          <w:rFonts w:ascii="Bahnschrift" w:hAnsi="Bahnschrift" w:cs="Arial"/>
          <w:noProof/>
        </w:rPr>
        <w:t xml:space="preserve"> https://www.bsp.gov.ph/Regulations/Issuances/2022/c1153.pdf</w:t>
      </w:r>
    </w:p>
    <w:p w14:paraId="3A6B1922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39B00219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Bangko Sentral ng Pilipinas (BSP). </w:t>
      </w:r>
      <w:r w:rsidRPr="00FA0C5B">
        <w:rPr>
          <w:rFonts w:ascii="Bahnschrift" w:hAnsi="Bahnschrift" w:cs="Arial"/>
          <w:i/>
          <w:iCs/>
          <w:noProof/>
        </w:rPr>
        <w:t>2023 BSP Sustainability Report</w:t>
      </w:r>
      <w:r w:rsidRPr="00FA0C5B">
        <w:rPr>
          <w:rFonts w:ascii="Bahnschrift" w:hAnsi="Bahnschrift" w:cs="Arial"/>
          <w:noProof/>
        </w:rPr>
        <w:t>. https://www.bsp.gov.ph/MediaAndResearch/Sustainability Initiatives/2023BSPSustainability_Report.pdf</w:t>
      </w:r>
    </w:p>
    <w:p w14:paraId="304D3D45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1E343EC9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Ferrari, R. (2015). Writing narrative style literature reviews. </w:t>
      </w:r>
      <w:r w:rsidRPr="00FA0C5B">
        <w:rPr>
          <w:rFonts w:ascii="Bahnschrift" w:hAnsi="Bahnschrift" w:cs="Arial"/>
          <w:i/>
          <w:iCs/>
          <w:noProof/>
        </w:rPr>
        <w:t>Medical Writing, 24</w:t>
      </w:r>
      <w:r w:rsidRPr="00FA0C5B">
        <w:rPr>
          <w:rFonts w:ascii="Bahnschrift" w:hAnsi="Bahnschrift" w:cs="Arial"/>
          <w:noProof/>
        </w:rPr>
        <w:t>(4), 230–235. https://doi.org/10.1179/2047480615Z.000000000329</w:t>
      </w:r>
    </w:p>
    <w:p w14:paraId="555959C5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5FD5AF9C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Financial Stability Coordination Council. (2024). </w:t>
      </w:r>
      <w:r w:rsidRPr="00FA0C5B">
        <w:rPr>
          <w:rFonts w:ascii="Bahnschrift" w:hAnsi="Bahnschrift" w:cs="Arial"/>
          <w:i/>
          <w:iCs/>
          <w:noProof/>
        </w:rPr>
        <w:t>2024 Financial Stability Report</w:t>
      </w:r>
      <w:r w:rsidRPr="00FA0C5B">
        <w:rPr>
          <w:rFonts w:ascii="Bahnschrift" w:hAnsi="Bahnschrift" w:cs="Arial"/>
          <w:noProof/>
        </w:rPr>
        <w:t>. https://www.bsp.gov.ph/Media_And_Research/FSR/FSR2024.pdf</w:t>
      </w:r>
    </w:p>
    <w:p w14:paraId="23BED3BB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ACD8186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Grant, M. J., &amp; Booth, A. (2009). A typology of reviews: an analysis of 14 review types and associated methodologies. </w:t>
      </w:r>
      <w:r w:rsidRPr="00FA0C5B">
        <w:rPr>
          <w:rFonts w:ascii="Bahnschrift" w:hAnsi="Bahnschrift" w:cs="Arial"/>
          <w:i/>
          <w:iCs/>
          <w:noProof/>
        </w:rPr>
        <w:t>Health Information &amp; Libraries Journal, 26</w:t>
      </w:r>
      <w:r w:rsidRPr="00FA0C5B">
        <w:rPr>
          <w:rFonts w:ascii="Bahnschrift" w:hAnsi="Bahnschrift" w:cs="Arial"/>
          <w:noProof/>
        </w:rPr>
        <w:t>(2), 91–108. https://doi.org/10.1111/j.1471-1842.2009.00848.x</w:t>
      </w:r>
    </w:p>
    <w:p w14:paraId="68EEF4A7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322C97F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Gun, L., Imamoglu, S. Z., Turkcan, H., &amp; Ince, H. (2024). Effect of Digital Transformation on Firm Performance in the Uncertain Environment: Transformational Leadership and Employee Self-Efficacy as Antecedents of Digital Transformation. In </w:t>
      </w:r>
      <w:r w:rsidRPr="00FA0C5B">
        <w:rPr>
          <w:rFonts w:ascii="Bahnschrift" w:hAnsi="Bahnschrift" w:cs="Arial"/>
          <w:i/>
          <w:iCs/>
          <w:noProof/>
        </w:rPr>
        <w:t>Sustainability</w:t>
      </w:r>
      <w:r w:rsidRPr="00FA0C5B">
        <w:rPr>
          <w:rFonts w:ascii="Bahnschrift" w:hAnsi="Bahnschrift" w:cs="Arial"/>
          <w:noProof/>
        </w:rPr>
        <w:t xml:space="preserve"> (Vol. 16, Issue 3, p. 1200). https://doi.org/10.3390/su16031200</w:t>
      </w:r>
    </w:p>
    <w:p w14:paraId="73CF9F45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4138D6EF" w14:textId="6F1FA471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Ha, D., Le, P., &amp; Nguyen, D. K. (2025). Financial inclusion and fintech: a state-of-the-art systematic literature review. </w:t>
      </w:r>
      <w:r w:rsidRPr="00FA0C5B">
        <w:rPr>
          <w:rFonts w:ascii="Bahnschrift" w:hAnsi="Bahnschrift" w:cs="Arial"/>
          <w:i/>
          <w:iCs/>
          <w:noProof/>
        </w:rPr>
        <w:t>Financial Innovation, 11</w:t>
      </w:r>
      <w:r w:rsidRPr="00FA0C5B">
        <w:rPr>
          <w:rFonts w:ascii="Bahnschrift" w:hAnsi="Bahnschrift" w:cs="Arial"/>
          <w:noProof/>
        </w:rPr>
        <w:t>(1), 69. https://doi.org/10.1186/s40854-024-00741-0</w:t>
      </w:r>
    </w:p>
    <w:p w14:paraId="3C9A66B7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lastRenderedPageBreak/>
        <w:t xml:space="preserve">Hariyani, D., Hariyani, P., &amp; Mishra, S. (2025). The role of leadership in sustainable digital transformation of the organization. </w:t>
      </w:r>
      <w:r w:rsidRPr="00FA0C5B">
        <w:rPr>
          <w:rFonts w:ascii="Bahnschrift" w:hAnsi="Bahnschrift" w:cs="Arial"/>
          <w:i/>
          <w:iCs/>
          <w:noProof/>
        </w:rPr>
        <w:t>Sustainable Futures, 10</w:t>
      </w:r>
      <w:r w:rsidRPr="00FA0C5B">
        <w:rPr>
          <w:rFonts w:ascii="Bahnschrift" w:hAnsi="Bahnschrift" w:cs="Arial"/>
          <w:noProof/>
        </w:rPr>
        <w:t>, 101130. https://doi.org/10.1016/j.sftr.2025.101130</w:t>
      </w:r>
    </w:p>
    <w:p w14:paraId="0A6356CC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20057B32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Juliana, B. M., Prabowo, H., Alamsjah, F., &amp; Hamsal, M. (2023). The analysis effect of adaptive leadership, digital adoption and organization agility on the resilience of Indonesian banks. </w:t>
      </w:r>
      <w:r w:rsidRPr="00FA0C5B">
        <w:rPr>
          <w:rFonts w:ascii="Bahnschrift" w:hAnsi="Bahnschrift" w:cs="Arial"/>
          <w:i/>
          <w:iCs/>
          <w:noProof/>
        </w:rPr>
        <w:t>Entrepreneurship on Global Economics Development in the Era of Society 5.0, 1</w:t>
      </w:r>
      <w:r w:rsidRPr="00FA0C5B">
        <w:rPr>
          <w:rFonts w:ascii="Bahnschrift" w:hAnsi="Bahnschrift" w:cs="Arial"/>
          <w:noProof/>
        </w:rPr>
        <w:t>(January), 1882–1891. https://doi.org/10.30596/miceb.v1i0.300</w:t>
      </w:r>
    </w:p>
    <w:p w14:paraId="0D53F1A7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86A47E4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Klus, M. F., &amp; Müller, J. (2021). The digital leader: what one needs to master today’s organisational challenges. </w:t>
      </w:r>
      <w:r w:rsidRPr="00FA0C5B">
        <w:rPr>
          <w:rFonts w:ascii="Bahnschrift" w:hAnsi="Bahnschrift" w:cs="Arial"/>
          <w:i/>
          <w:iCs/>
          <w:noProof/>
        </w:rPr>
        <w:t>Journal of Business Economics, 91</w:t>
      </w:r>
      <w:r w:rsidRPr="00FA0C5B">
        <w:rPr>
          <w:rFonts w:ascii="Bahnschrift" w:hAnsi="Bahnschrift" w:cs="Arial"/>
          <w:noProof/>
        </w:rPr>
        <w:t>(8), 1189–1223. https://doi.org/10.1007/s11573-021-01040-1</w:t>
      </w:r>
    </w:p>
    <w:p w14:paraId="5054E6D2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427DCD4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Lin, Q. (2025). Digital leadership: a systematic literature review and future research agenda. </w:t>
      </w:r>
      <w:r w:rsidRPr="00FA0C5B">
        <w:rPr>
          <w:rFonts w:ascii="Bahnschrift" w:hAnsi="Bahnschrift" w:cs="Arial"/>
          <w:i/>
          <w:iCs/>
          <w:noProof/>
        </w:rPr>
        <w:t>European Journal of Innovation Management, 28</w:t>
      </w:r>
      <w:r w:rsidRPr="00FA0C5B">
        <w:rPr>
          <w:rFonts w:ascii="Bahnschrift" w:hAnsi="Bahnschrift" w:cs="Arial"/>
          <w:noProof/>
        </w:rPr>
        <w:t>(6), 2469–2488. https://doi.org/10.1108/EJIM-07-2023-0522</w:t>
      </w:r>
    </w:p>
    <w:p w14:paraId="684FA959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5320B098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Lu, H. (2025). A Review of Leadership Needed in Nonprofits: Transformational Leadership. </w:t>
      </w:r>
      <w:r w:rsidRPr="00FA0C5B">
        <w:rPr>
          <w:rFonts w:ascii="Bahnschrift" w:hAnsi="Bahnschrift" w:cs="Arial"/>
          <w:i/>
          <w:iCs/>
          <w:noProof/>
        </w:rPr>
        <w:t>International Journal of Economics, Business and Management Research, 09</w:t>
      </w:r>
      <w:r w:rsidRPr="00FA0C5B">
        <w:rPr>
          <w:rFonts w:ascii="Bahnschrift" w:hAnsi="Bahnschrift" w:cs="Arial"/>
          <w:noProof/>
        </w:rPr>
        <w:t>, 19–29. https://doi.org/10.51505/IJEBMR.2025.9202</w:t>
      </w:r>
    </w:p>
    <w:p w14:paraId="28239B53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790A8C66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Lydiana, Y. F., Gustomo, A., &amp; Bangun, Y. R. (2025). Bank leadership in the digital age: Fostering meaningful employee experiences through transformation. </w:t>
      </w:r>
      <w:r w:rsidRPr="00FA0C5B">
        <w:rPr>
          <w:rFonts w:ascii="Bahnschrift" w:hAnsi="Bahnschrift" w:cs="Arial"/>
          <w:i/>
          <w:iCs/>
          <w:noProof/>
        </w:rPr>
        <w:t>Journal of Management &amp; Organization</w:t>
      </w:r>
      <w:r w:rsidRPr="00FA0C5B">
        <w:rPr>
          <w:rFonts w:ascii="Bahnschrift" w:hAnsi="Bahnschrift" w:cs="Arial"/>
          <w:noProof/>
        </w:rPr>
        <w:t>, 1–22. https://doi.org/DOI: 10.1017/jmo.2025.10028</w:t>
      </w:r>
    </w:p>
    <w:p w14:paraId="24B92FA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F66B4D2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Organization for Economic Co-operation and Development [OECD]. (2023a). Open finance policy considerations. In </w:t>
      </w:r>
      <w:r w:rsidRPr="00FA0C5B">
        <w:rPr>
          <w:rFonts w:ascii="Bahnschrift" w:hAnsi="Bahnschrift" w:cs="Arial"/>
          <w:i/>
          <w:iCs/>
          <w:noProof/>
        </w:rPr>
        <w:t xml:space="preserve">OECD Business and Finance Policy Papers </w:t>
      </w:r>
      <w:r w:rsidRPr="00FA0C5B">
        <w:rPr>
          <w:rFonts w:ascii="Bahnschrift" w:hAnsi="Bahnschrift" w:cs="Arial"/>
          <w:noProof/>
        </w:rPr>
        <w:t>(36; OECD Business and Finance Policy Papers, Vol. 36). OECD Publishing, Paris. https://doi.org/10.1787/19ef3608-en</w:t>
      </w:r>
    </w:p>
    <w:p w14:paraId="5233C63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2748E602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Organization for Economic Co-operation and Development [OECD]. (2023b). Shifting from open banking to open finance. In </w:t>
      </w:r>
      <w:r w:rsidRPr="00FA0C5B">
        <w:rPr>
          <w:rFonts w:ascii="Bahnschrift" w:hAnsi="Bahnschrift" w:cs="Arial"/>
          <w:i/>
          <w:iCs/>
          <w:noProof/>
        </w:rPr>
        <w:t xml:space="preserve">OECD Business and Finance Policy Papers </w:t>
      </w:r>
      <w:r w:rsidRPr="00FA0C5B">
        <w:rPr>
          <w:rFonts w:ascii="Bahnschrift" w:hAnsi="Bahnschrift" w:cs="Arial"/>
          <w:noProof/>
        </w:rPr>
        <w:t>(OECD Business and Finance Policy Papers, Vol. 24, Issue 24). OECD Publishing, Paris. https://doi.org/10.1787/9f881c0c-en</w:t>
      </w:r>
    </w:p>
    <w:p w14:paraId="32AC9805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2250C19F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Osei, L. K., Cherkasova, Y., &amp; Oware, K. M. (2023). Unlocking the full potential of digital transformation in banking: a bibliometric review and emerging trend. </w:t>
      </w:r>
      <w:r w:rsidRPr="00FA0C5B">
        <w:rPr>
          <w:rFonts w:ascii="Bahnschrift" w:hAnsi="Bahnschrift" w:cs="Arial"/>
          <w:i/>
          <w:iCs/>
          <w:noProof/>
        </w:rPr>
        <w:t>Future Business Journal, 9</w:t>
      </w:r>
      <w:r w:rsidRPr="00FA0C5B">
        <w:rPr>
          <w:rFonts w:ascii="Bahnschrift" w:hAnsi="Bahnschrift" w:cs="Arial"/>
          <w:noProof/>
        </w:rPr>
        <w:t>(1), 1–18. https://doi.org/10.1186/s43093-023-00207-2</w:t>
      </w:r>
    </w:p>
    <w:p w14:paraId="0F20C762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778DAD2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Papagiannidis, E., Mikalef, P., &amp; Conboy, K. (2025). Responsible artificial intelligence governance: A review and research framework. </w:t>
      </w:r>
      <w:r w:rsidRPr="00FA0C5B">
        <w:rPr>
          <w:rFonts w:ascii="Bahnschrift" w:hAnsi="Bahnschrift" w:cs="Arial"/>
          <w:i/>
          <w:iCs/>
          <w:noProof/>
        </w:rPr>
        <w:t>The Journal of Strategic Information Systems, 34</w:t>
      </w:r>
      <w:r w:rsidRPr="00FA0C5B">
        <w:rPr>
          <w:rFonts w:ascii="Bahnschrift" w:hAnsi="Bahnschrift" w:cs="Arial"/>
          <w:noProof/>
        </w:rPr>
        <w:t>(2), 101885. https://doi.org/10.1016/j.jsis.2024.101885</w:t>
      </w:r>
    </w:p>
    <w:p w14:paraId="1139887E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7360809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Probojakti, W., Utami, H. N., Prasetya, A., &amp; Riza, M. F. (2024). Building Sustainable Competitive Advantage in Banking through Organizational Agility. In </w:t>
      </w:r>
      <w:r w:rsidRPr="00FA0C5B">
        <w:rPr>
          <w:rFonts w:ascii="Bahnschrift" w:hAnsi="Bahnschrift" w:cs="Arial"/>
          <w:i/>
          <w:iCs/>
          <w:noProof/>
        </w:rPr>
        <w:t>Sustainability (Vol. 16</w:t>
      </w:r>
      <w:r w:rsidRPr="00FA0C5B">
        <w:rPr>
          <w:rFonts w:ascii="Bahnschrift" w:hAnsi="Bahnschrift" w:cs="Arial"/>
          <w:noProof/>
        </w:rPr>
        <w:t>, Issue 19, p. 8327). https://doi.org/10.3390/su16198327</w:t>
      </w:r>
    </w:p>
    <w:p w14:paraId="1EDF3F4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758C3460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Snyder, H. (2019). Literature review as a research methodology: An overview and guidelines. </w:t>
      </w:r>
      <w:r w:rsidRPr="00FA0C5B">
        <w:rPr>
          <w:rFonts w:ascii="Bahnschrift" w:hAnsi="Bahnschrift" w:cs="Arial"/>
          <w:i/>
          <w:iCs/>
          <w:noProof/>
        </w:rPr>
        <w:t>Journal of Business Research, 104</w:t>
      </w:r>
      <w:r w:rsidRPr="00FA0C5B">
        <w:rPr>
          <w:rFonts w:ascii="Bahnschrift" w:hAnsi="Bahnschrift" w:cs="Arial"/>
          <w:noProof/>
        </w:rPr>
        <w:t xml:space="preserve">, 333–339. </w:t>
      </w:r>
      <w:r w:rsidRPr="00FA0C5B">
        <w:rPr>
          <w:rFonts w:ascii="Bahnschrift" w:hAnsi="Bahnschrift" w:cs="Arial"/>
          <w:noProof/>
        </w:rPr>
        <w:lastRenderedPageBreak/>
        <w:t>https://doi.org/10.1016/j.jbusres.2019.07.039</w:t>
      </w:r>
    </w:p>
    <w:p w14:paraId="1EC24B0D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1EC5F516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United Nations. (2022). </w:t>
      </w:r>
      <w:r w:rsidRPr="00FA0C5B">
        <w:rPr>
          <w:rFonts w:ascii="Bahnschrift" w:hAnsi="Bahnschrift" w:cs="Arial"/>
          <w:i/>
          <w:iCs/>
          <w:noProof/>
        </w:rPr>
        <w:t>The Sustainable Development Goals Report 2022</w:t>
      </w:r>
      <w:r w:rsidRPr="00FA0C5B">
        <w:rPr>
          <w:rFonts w:ascii="Bahnschrift" w:hAnsi="Bahnschrift" w:cs="Arial"/>
          <w:noProof/>
        </w:rPr>
        <w:t>. https://unstats.un.org/sdgs/report/2022/</w:t>
      </w:r>
    </w:p>
    <w:p w14:paraId="2B580BC9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BC8D9BC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  <w:r w:rsidRPr="00FA0C5B">
        <w:rPr>
          <w:rFonts w:ascii="Bahnschrift" w:hAnsi="Bahnschrift" w:cs="Arial"/>
          <w:noProof/>
        </w:rPr>
        <w:t xml:space="preserve">Velez, G. (2025). A Systematic Review of Mobile Banking, Fintech Innovations, and Regulatory Gaps to Achieve Financial Inclusion in the Philippines. </w:t>
      </w:r>
      <w:r w:rsidRPr="00FA0C5B">
        <w:rPr>
          <w:rFonts w:ascii="Bahnschrift" w:hAnsi="Bahnschrift" w:cs="Arial"/>
          <w:i/>
          <w:iCs/>
          <w:noProof/>
        </w:rPr>
        <w:t>Journal of Interdisciplinary Perspectives, 3</w:t>
      </w:r>
      <w:r w:rsidRPr="00FA0C5B">
        <w:rPr>
          <w:rFonts w:ascii="Bahnschrift" w:hAnsi="Bahnschrift" w:cs="Arial"/>
          <w:noProof/>
        </w:rPr>
        <w:t>(3), 390–398. https://doi.org/10.69569/jip.2025.056</w:t>
      </w:r>
    </w:p>
    <w:p w14:paraId="1355F896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 w:cs="Arial"/>
          <w:noProof/>
        </w:rPr>
      </w:pPr>
    </w:p>
    <w:p w14:paraId="642E4C8F" w14:textId="77777777" w:rsidR="00397F94" w:rsidRPr="00FA0C5B" w:rsidRDefault="00397F94" w:rsidP="00397F94">
      <w:pPr>
        <w:widowControl w:val="0"/>
        <w:adjustRightInd w:val="0"/>
        <w:spacing w:after="0" w:line="240" w:lineRule="auto"/>
        <w:ind w:left="720" w:hanging="720"/>
        <w:jc w:val="both"/>
        <w:rPr>
          <w:rFonts w:ascii="Bahnschrift" w:hAnsi="Bahnschrift"/>
        </w:rPr>
      </w:pPr>
      <w:r w:rsidRPr="00FA0C5B">
        <w:rPr>
          <w:rFonts w:ascii="Bahnschrift" w:hAnsi="Bahnschrift" w:cs="Arial"/>
          <w:noProof/>
        </w:rPr>
        <w:t xml:space="preserve">Wang, S., Asif, M., Shahzad, M. F., &amp; Ashfaq, M. (2024). Data privacy and cybersecurity challenges in the digital transformation of the banking sector. </w:t>
      </w:r>
      <w:r w:rsidRPr="00FA0C5B">
        <w:rPr>
          <w:rFonts w:ascii="Bahnschrift" w:hAnsi="Bahnschrift" w:cs="Arial"/>
          <w:i/>
          <w:iCs/>
          <w:noProof/>
        </w:rPr>
        <w:t>Computers &amp; Security</w:t>
      </w:r>
      <w:r w:rsidRPr="00FA0C5B">
        <w:rPr>
          <w:rFonts w:ascii="Bahnschrift" w:hAnsi="Bahnschrift" w:cs="Arial"/>
          <w:noProof/>
        </w:rPr>
        <w:t xml:space="preserve">, </w:t>
      </w:r>
      <w:r w:rsidRPr="00FA0C5B">
        <w:rPr>
          <w:rFonts w:ascii="Bahnschrift" w:hAnsi="Bahnschrift" w:cs="Arial"/>
          <w:i/>
          <w:iCs/>
          <w:noProof/>
        </w:rPr>
        <w:t>147</w:t>
      </w:r>
      <w:r w:rsidRPr="00FA0C5B">
        <w:rPr>
          <w:rFonts w:ascii="Bahnschrift" w:hAnsi="Bahnschrift" w:cs="Arial"/>
          <w:noProof/>
        </w:rPr>
        <w:t>, 104051. https://doi.org/10.1016/j.cose.2024.104051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0E969" w14:textId="77777777" w:rsidR="00EF6613" w:rsidRDefault="00EF6613" w:rsidP="00290EE2">
      <w:pPr>
        <w:spacing w:after="0" w:line="240" w:lineRule="auto"/>
      </w:pPr>
      <w:r>
        <w:separator/>
      </w:r>
    </w:p>
  </w:endnote>
  <w:endnote w:type="continuationSeparator" w:id="0">
    <w:p w14:paraId="2F468A23" w14:textId="77777777" w:rsidR="00EF6613" w:rsidRDefault="00EF6613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09865" w14:textId="77777777" w:rsidR="00EF6613" w:rsidRDefault="00EF6613" w:rsidP="00290EE2">
      <w:pPr>
        <w:spacing w:after="0" w:line="240" w:lineRule="auto"/>
      </w:pPr>
      <w:r>
        <w:separator/>
      </w:r>
    </w:p>
  </w:footnote>
  <w:footnote w:type="continuationSeparator" w:id="0">
    <w:p w14:paraId="5A577CA3" w14:textId="77777777" w:rsidR="00EF6613" w:rsidRDefault="00EF6613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8"/>
  </w:num>
  <w:num w:numId="4" w16cid:durableId="2116243982">
    <w:abstractNumId w:val="34"/>
  </w:num>
  <w:num w:numId="5" w16cid:durableId="1848906244">
    <w:abstractNumId w:val="15"/>
  </w:num>
  <w:num w:numId="6" w16cid:durableId="1097823186">
    <w:abstractNumId w:val="31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5"/>
  </w:num>
  <w:num w:numId="10" w16cid:durableId="657853467">
    <w:abstractNumId w:val="28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0"/>
  </w:num>
  <w:num w:numId="14" w16cid:durableId="1610159056">
    <w:abstractNumId w:val="27"/>
  </w:num>
  <w:num w:numId="15" w16cid:durableId="1035691151">
    <w:abstractNumId w:val="21"/>
  </w:num>
  <w:num w:numId="16" w16cid:durableId="1345325102">
    <w:abstractNumId w:val="6"/>
  </w:num>
  <w:num w:numId="17" w16cid:durableId="1939287957">
    <w:abstractNumId w:val="39"/>
  </w:num>
  <w:num w:numId="18" w16cid:durableId="1050766509">
    <w:abstractNumId w:val="5"/>
  </w:num>
  <w:num w:numId="19" w16cid:durableId="2067869038">
    <w:abstractNumId w:val="37"/>
  </w:num>
  <w:num w:numId="20" w16cid:durableId="926382073">
    <w:abstractNumId w:val="32"/>
  </w:num>
  <w:num w:numId="21" w16cid:durableId="175774230">
    <w:abstractNumId w:val="29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6"/>
  </w:num>
  <w:num w:numId="26" w16cid:durableId="1921407878">
    <w:abstractNumId w:val="17"/>
  </w:num>
  <w:num w:numId="27" w16cid:durableId="1137604831">
    <w:abstractNumId w:val="36"/>
  </w:num>
  <w:num w:numId="28" w16cid:durableId="1843815622">
    <w:abstractNumId w:val="20"/>
  </w:num>
  <w:num w:numId="29" w16cid:durableId="1984578508">
    <w:abstractNumId w:val="18"/>
  </w:num>
  <w:num w:numId="30" w16cid:durableId="1087849804">
    <w:abstractNumId w:val="16"/>
  </w:num>
  <w:num w:numId="31" w16cid:durableId="1535196864">
    <w:abstractNumId w:val="19"/>
  </w:num>
  <w:num w:numId="32" w16cid:durableId="1006328205">
    <w:abstractNumId w:val="35"/>
  </w:num>
  <w:num w:numId="33" w16cid:durableId="2076972064">
    <w:abstractNumId w:val="24"/>
  </w:num>
  <w:num w:numId="34" w16cid:durableId="1405879234">
    <w:abstractNumId w:val="14"/>
  </w:num>
  <w:num w:numId="35" w16cid:durableId="1221095569">
    <w:abstractNumId w:val="33"/>
  </w:num>
  <w:num w:numId="36" w16cid:durableId="759450845">
    <w:abstractNumId w:val="23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77679"/>
    <w:rsid w:val="000854B9"/>
    <w:rsid w:val="00085B6A"/>
    <w:rsid w:val="000905B2"/>
    <w:rsid w:val="000B20E3"/>
    <w:rsid w:val="000C2E76"/>
    <w:rsid w:val="000E6E7E"/>
    <w:rsid w:val="000F5057"/>
    <w:rsid w:val="000F6515"/>
    <w:rsid w:val="001537E9"/>
    <w:rsid w:val="001803A8"/>
    <w:rsid w:val="001E51ED"/>
    <w:rsid w:val="001F54EA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397F94"/>
    <w:rsid w:val="0040380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7107"/>
    <w:rsid w:val="005A412C"/>
    <w:rsid w:val="005C1604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3B1"/>
    <w:rsid w:val="00A11A8C"/>
    <w:rsid w:val="00A46EC1"/>
    <w:rsid w:val="00A949FE"/>
    <w:rsid w:val="00AA5980"/>
    <w:rsid w:val="00AB7B62"/>
    <w:rsid w:val="00AE2C6C"/>
    <w:rsid w:val="00AE75F0"/>
    <w:rsid w:val="00B03067"/>
    <w:rsid w:val="00B517BC"/>
    <w:rsid w:val="00B52DD2"/>
    <w:rsid w:val="00BD197D"/>
    <w:rsid w:val="00BD21AF"/>
    <w:rsid w:val="00C019A5"/>
    <w:rsid w:val="00C1010B"/>
    <w:rsid w:val="00C261F2"/>
    <w:rsid w:val="00C4676A"/>
    <w:rsid w:val="00C64BBB"/>
    <w:rsid w:val="00C833B7"/>
    <w:rsid w:val="00C95B11"/>
    <w:rsid w:val="00D12E17"/>
    <w:rsid w:val="00D21FD1"/>
    <w:rsid w:val="00D269F4"/>
    <w:rsid w:val="00D56D5A"/>
    <w:rsid w:val="00D63BE3"/>
    <w:rsid w:val="00D86FE1"/>
    <w:rsid w:val="00D90040"/>
    <w:rsid w:val="00D93013"/>
    <w:rsid w:val="00DC7E96"/>
    <w:rsid w:val="00DD169C"/>
    <w:rsid w:val="00DD3D62"/>
    <w:rsid w:val="00DD5544"/>
    <w:rsid w:val="00DE625B"/>
    <w:rsid w:val="00DE69B0"/>
    <w:rsid w:val="00DF30A2"/>
    <w:rsid w:val="00DF509D"/>
    <w:rsid w:val="00DF5CBF"/>
    <w:rsid w:val="00E02438"/>
    <w:rsid w:val="00E03E24"/>
    <w:rsid w:val="00E203A6"/>
    <w:rsid w:val="00E5333A"/>
    <w:rsid w:val="00E84A47"/>
    <w:rsid w:val="00EA227F"/>
    <w:rsid w:val="00EB2813"/>
    <w:rsid w:val="00EC4E5D"/>
    <w:rsid w:val="00ED56E4"/>
    <w:rsid w:val="00EF6613"/>
    <w:rsid w:val="00F04034"/>
    <w:rsid w:val="00F23CBA"/>
    <w:rsid w:val="00F462FC"/>
    <w:rsid w:val="00F563EA"/>
    <w:rsid w:val="00F74DF4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94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spacing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57</cp:revision>
  <cp:lastPrinted>2026-02-21T05:03:00Z</cp:lastPrinted>
  <dcterms:created xsi:type="dcterms:W3CDTF">2025-12-03T11:08:00Z</dcterms:created>
  <dcterms:modified xsi:type="dcterms:W3CDTF">2026-07-28T08:45:00Z</dcterms:modified>
</cp:coreProperties>
</file>