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D4D38" w14:textId="77777777" w:rsidR="006776EF" w:rsidRPr="00824752" w:rsidRDefault="006776EF" w:rsidP="006776EF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24752">
        <w:rPr>
          <w:rFonts w:ascii="Arial Rounded MT Bold" w:hAnsi="Arial Rounded MT Bold"/>
          <w:b/>
          <w:bCs/>
        </w:rPr>
        <w:t>REFERENCES</w:t>
      </w:r>
    </w:p>
    <w:p w14:paraId="31382A25" w14:textId="77777777" w:rsidR="006776EF" w:rsidRDefault="006776EF" w:rsidP="006776E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2B5AE3F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Beagan, B. L., Sibbald, S. L., Pride, J. K., &amp; Burnett, P. J. (2021). Integrating humanities into medical education: A narrative approach. </w:t>
      </w:r>
      <w:r w:rsidRPr="00F5097C">
        <w:rPr>
          <w:rFonts w:ascii="Bahnschrift" w:hAnsi="Bahnschrift"/>
          <w:i/>
          <w:iCs/>
        </w:rPr>
        <w:t>Medical Education, 55</w:t>
      </w:r>
      <w:r w:rsidRPr="00F5097C">
        <w:rPr>
          <w:rFonts w:ascii="Bahnschrift" w:hAnsi="Bahnschrift"/>
        </w:rPr>
        <w:t xml:space="preserve">(4), 463–471. https://doi.org/10.1111/medu.14432 </w:t>
      </w:r>
    </w:p>
    <w:p w14:paraId="1EEA9ACE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941843D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Boonstra, A., Versluis, A., &amp; Vos, J. F. J. (2021). Implementing digital technologies in healthcare: A sociotechnical perspective to improve adoption. </w:t>
      </w:r>
      <w:r w:rsidRPr="00F5097C">
        <w:rPr>
          <w:rFonts w:ascii="Bahnschrift" w:hAnsi="Bahnschrift"/>
          <w:i/>
          <w:iCs/>
        </w:rPr>
        <w:t>International Journal of Medical Informatics, 151</w:t>
      </w:r>
      <w:r w:rsidRPr="00F5097C">
        <w:rPr>
          <w:rFonts w:ascii="Bahnschrift" w:hAnsi="Bahnschrift"/>
        </w:rPr>
        <w:t xml:space="preserve">, 104457. https://doi.org/10.1016/j.ijmedinf.2021.104457 </w:t>
      </w:r>
    </w:p>
    <w:p w14:paraId="517AE2DD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5E15CB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Branch, W. T. (2015). Teaching professional and humanistic values: A practical and theoretical model. </w:t>
      </w:r>
      <w:r w:rsidRPr="00F5097C">
        <w:rPr>
          <w:rFonts w:ascii="Bahnschrift" w:hAnsi="Bahnschrift"/>
          <w:i/>
          <w:iCs/>
        </w:rPr>
        <w:t>Patient Education and Counseling, 98</w:t>
      </w:r>
      <w:r w:rsidRPr="00F5097C">
        <w:rPr>
          <w:rFonts w:ascii="Bahnschrift" w:hAnsi="Bahnschrift"/>
        </w:rPr>
        <w:t xml:space="preserve">(2), 162–167. https://doi.org/10.1016/j.pec.2014.11.004 </w:t>
      </w:r>
    </w:p>
    <w:p w14:paraId="57A7A4C2" w14:textId="77777777" w:rsidR="006776EF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E7700F6" w14:textId="24CC961D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Branch, W. T., Frankel, R., Gracey, C. F., &amp; Haidet, P. (2019). A good clinician and a caring person: Longitudinal faculty development. </w:t>
      </w:r>
      <w:r w:rsidRPr="00F5097C">
        <w:rPr>
          <w:rFonts w:ascii="Bahnschrift" w:hAnsi="Bahnschrift"/>
          <w:i/>
          <w:iCs/>
        </w:rPr>
        <w:t>Academic Medicine, 94</w:t>
      </w:r>
      <w:r w:rsidRPr="00F5097C">
        <w:rPr>
          <w:rFonts w:ascii="Bahnschrift" w:hAnsi="Bahnschrift"/>
        </w:rPr>
        <w:t xml:space="preserve">(4), 486–491. https://doi.org/10.1097/ACM.0000000000002584 </w:t>
      </w:r>
    </w:p>
    <w:p w14:paraId="566CACB7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22AD009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>Chen, Q., Li, Y., &amp; Wang, H. (2024). Efficiency reforms and humanistic tensions in Chinese healthcare education</w:t>
      </w:r>
      <w:r w:rsidRPr="00F5097C">
        <w:rPr>
          <w:rFonts w:ascii="Bahnschrift" w:hAnsi="Bahnschrift"/>
          <w:i/>
          <w:iCs/>
        </w:rPr>
        <w:t>. BMC Medical Education, 24</w:t>
      </w:r>
      <w:r w:rsidRPr="00F5097C">
        <w:rPr>
          <w:rFonts w:ascii="Bahnschrift" w:hAnsi="Bahnschrift"/>
        </w:rPr>
        <w:t xml:space="preserve">(1), 118. https://doi.org/10.1186/s12909-024-05118-7 </w:t>
      </w:r>
    </w:p>
    <w:p w14:paraId="5F7B9DCB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4615B40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Creswell, J. W., &amp; Creswell, J. D. (2023). Research design: Qualitative, quantitative, and mixed methods approaches (6th ed.). </w:t>
      </w:r>
      <w:r w:rsidRPr="00F5097C">
        <w:rPr>
          <w:rFonts w:ascii="Bahnschrift" w:hAnsi="Bahnschrift"/>
          <w:i/>
          <w:iCs/>
        </w:rPr>
        <w:t>Sage</w:t>
      </w:r>
      <w:r w:rsidRPr="00F5097C">
        <w:rPr>
          <w:rFonts w:ascii="Bahnschrift" w:hAnsi="Bahnschrift"/>
        </w:rPr>
        <w:t>.</w:t>
      </w:r>
    </w:p>
    <w:p w14:paraId="45F66C4F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A5E62C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Creswell, J. W., &amp; Plano Clark, V. L. (2022). Designing and conducting mixed methods research (3rd ed.). </w:t>
      </w:r>
      <w:r w:rsidRPr="00F5097C">
        <w:rPr>
          <w:rFonts w:ascii="Bahnschrift" w:hAnsi="Bahnschrift"/>
          <w:i/>
          <w:iCs/>
        </w:rPr>
        <w:t>Sage</w:t>
      </w:r>
      <w:r w:rsidRPr="00F5097C">
        <w:rPr>
          <w:rFonts w:ascii="Bahnschrift" w:hAnsi="Bahnschrift"/>
        </w:rPr>
        <w:t>.</w:t>
      </w:r>
    </w:p>
    <w:p w14:paraId="0C7BE6CD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851FE86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Cruess, R. L., Cruess, S. R., &amp; Steinert, Y. (2015). Teaching medical professionalism: Supporting the development of a professional identity. </w:t>
      </w:r>
      <w:r w:rsidRPr="00F5097C">
        <w:rPr>
          <w:rFonts w:ascii="Bahnschrift" w:hAnsi="Bahnschrift"/>
          <w:i/>
          <w:iCs/>
        </w:rPr>
        <w:t>Cambridge University Press.</w:t>
      </w:r>
    </w:p>
    <w:p w14:paraId="4C9E090F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5CE6EFF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Cruess, R. L., Cruess, S. R., Steinert, Y., &amp; Hodges, B. D. (2021). Reframing medical education to support professional identity formation. </w:t>
      </w:r>
      <w:r w:rsidRPr="00F5097C">
        <w:rPr>
          <w:rFonts w:ascii="Bahnschrift" w:hAnsi="Bahnschrift"/>
          <w:i/>
          <w:iCs/>
        </w:rPr>
        <w:t>Academic Medicine, 96</w:t>
      </w:r>
      <w:r w:rsidRPr="00F5097C">
        <w:rPr>
          <w:rFonts w:ascii="Bahnschrift" w:hAnsi="Bahnschrift"/>
        </w:rPr>
        <w:t xml:space="preserve">(6), 794–802. https://doi.org/10.1097/ACM.0000000000004015 </w:t>
      </w:r>
    </w:p>
    <w:p w14:paraId="3B8511B7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B057497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Derksen, F., Bensing, J., &amp; Lagro‐Janssen, A. (2013). Effectiveness of empathy in general practice: A systematic review. </w:t>
      </w:r>
      <w:r w:rsidRPr="00F5097C">
        <w:rPr>
          <w:rFonts w:ascii="Bahnschrift" w:hAnsi="Bahnschrift"/>
          <w:i/>
          <w:iCs/>
        </w:rPr>
        <w:t>British Journal of General Practice, 63</w:t>
      </w:r>
      <w:r w:rsidRPr="00F5097C">
        <w:rPr>
          <w:rFonts w:ascii="Bahnschrift" w:hAnsi="Bahnschrift"/>
        </w:rPr>
        <w:t>(606), e76–e84. https://doi.org/10.3399/bjgp13X660814</w:t>
      </w:r>
    </w:p>
    <w:p w14:paraId="1B56C044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A1AAA78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Díez, J., Li, H., &amp; Sun, Y. (2025). Clinical clerkships and the cultivation of empathy in Chinese medical education. </w:t>
      </w:r>
      <w:r w:rsidRPr="00F5097C">
        <w:rPr>
          <w:rFonts w:ascii="Bahnschrift" w:hAnsi="Bahnschrift"/>
          <w:i/>
          <w:iCs/>
        </w:rPr>
        <w:t>Medical Teacher, 47</w:t>
      </w:r>
      <w:r w:rsidRPr="00F5097C">
        <w:rPr>
          <w:rFonts w:ascii="Bahnschrift" w:hAnsi="Bahnschrift"/>
        </w:rPr>
        <w:t xml:space="preserve">(2), 158–166. https://doi.org/10.1080/0142159X.2024.2301156 </w:t>
      </w:r>
    </w:p>
    <w:p w14:paraId="1C0ABF86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36229CE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Epstein, R. M., &amp; Street, R. L., Jr. (2011). The values and value of patient-centered care. </w:t>
      </w:r>
      <w:r w:rsidRPr="00F5097C">
        <w:rPr>
          <w:rFonts w:ascii="Bahnschrift" w:hAnsi="Bahnschrift"/>
          <w:i/>
          <w:iCs/>
        </w:rPr>
        <w:t>Annals of Family Medicine, 9</w:t>
      </w:r>
      <w:r w:rsidRPr="00F5097C">
        <w:rPr>
          <w:rFonts w:ascii="Bahnschrift" w:hAnsi="Bahnschrift"/>
        </w:rPr>
        <w:t>(2), 100–103. https://doi.org/10.1370/afm.1239</w:t>
      </w:r>
    </w:p>
    <w:p w14:paraId="47EAB188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F69AFBC" w14:textId="5568989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Feng, X., Liu, Y., &amp; Zhou, M. (2025). Governance and accountability in Chinese medical universities. </w:t>
      </w:r>
      <w:r w:rsidRPr="00F5097C">
        <w:rPr>
          <w:rFonts w:ascii="Bahnschrift" w:hAnsi="Bahnschrift"/>
          <w:i/>
          <w:iCs/>
        </w:rPr>
        <w:t>Higher Education Policy, 38</w:t>
      </w:r>
      <w:r w:rsidRPr="00F5097C">
        <w:rPr>
          <w:rFonts w:ascii="Bahnschrift" w:hAnsi="Bahnschrift"/>
        </w:rPr>
        <w:t xml:space="preserve">(1), 89–107. https://doi.org/10.1057/s41307-024-00315-2 </w:t>
      </w:r>
    </w:p>
    <w:p w14:paraId="04877DB7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lastRenderedPageBreak/>
        <w:t xml:space="preserve">Halpern, J. (2014). From idealized clinical empathy to empathic communication in medical care. </w:t>
      </w:r>
      <w:r w:rsidRPr="00F5097C">
        <w:rPr>
          <w:rFonts w:ascii="Bahnschrift" w:hAnsi="Bahnschrift"/>
          <w:i/>
          <w:iCs/>
        </w:rPr>
        <w:t>Medicine, Health Care and Philosophy, 17</w:t>
      </w:r>
      <w:r w:rsidRPr="00F5097C">
        <w:rPr>
          <w:rFonts w:ascii="Bahnschrift" w:hAnsi="Bahnschrift"/>
        </w:rPr>
        <w:t xml:space="preserve">(2), 301–311. </w:t>
      </w:r>
      <w:r w:rsidRPr="00A84160">
        <w:rPr>
          <w:rFonts w:ascii="Bahnschrift" w:hAnsi="Bahnschrift"/>
          <w:sz w:val="21"/>
          <w:szCs w:val="21"/>
        </w:rPr>
        <w:t>https://doi.org/10.1007/s11019-013-9510-4</w:t>
      </w:r>
    </w:p>
    <w:p w14:paraId="5CEE94B8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7CC3C5F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Han, X., &amp; Wu, J. (2024). Healthy China 2030 and post pandemic medical education reform. </w:t>
      </w:r>
      <w:r w:rsidRPr="00F5097C">
        <w:rPr>
          <w:rFonts w:ascii="Bahnschrift" w:hAnsi="Bahnschrift"/>
          <w:i/>
          <w:iCs/>
        </w:rPr>
        <w:t>China Health Review, 43</w:t>
      </w:r>
      <w:r w:rsidRPr="00F5097C">
        <w:rPr>
          <w:rFonts w:ascii="Bahnschrift" w:hAnsi="Bahnschrift"/>
        </w:rPr>
        <w:t>(3), 201–214.</w:t>
      </w:r>
    </w:p>
    <w:p w14:paraId="0134E713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5918038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Hojat, M., Vergare, M., Maxwell, K., Brainard, G., Herrine, S. K., Isenberg, G. A., &amp; Gonnella, J. S. (2011). The devil is in the third year: A longitudinal study of empathy decline. </w:t>
      </w:r>
      <w:r w:rsidRPr="00F5097C">
        <w:rPr>
          <w:rFonts w:ascii="Bahnschrift" w:hAnsi="Bahnschrift"/>
          <w:i/>
          <w:iCs/>
        </w:rPr>
        <w:t>Academic Medicine, 86</w:t>
      </w:r>
      <w:r w:rsidRPr="00F5097C">
        <w:rPr>
          <w:rFonts w:ascii="Bahnschrift" w:hAnsi="Bahnschrift"/>
        </w:rPr>
        <w:t xml:space="preserve">(9), 1182–1191. https://doi.org/10.1097/ACM.0b013e318221e615 </w:t>
      </w:r>
    </w:p>
    <w:p w14:paraId="19F0C6A7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501BF99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Jing, Z., He, S., &amp; Zhang, Y. (2025). Improving hospital efficiency in China through tiered healthcare delivery. </w:t>
      </w:r>
      <w:r w:rsidRPr="00F5097C">
        <w:rPr>
          <w:rFonts w:ascii="Bahnschrift" w:hAnsi="Bahnschrift"/>
          <w:i/>
          <w:iCs/>
        </w:rPr>
        <w:t>Health Policy, 129</w:t>
      </w:r>
      <w:r w:rsidRPr="00F5097C">
        <w:rPr>
          <w:rFonts w:ascii="Bahnschrift" w:hAnsi="Bahnschrift"/>
        </w:rPr>
        <w:t xml:space="preserve">(2), 236–244. https://doi.org/10.1016/j.healthpol.2024.12.006 </w:t>
      </w:r>
    </w:p>
    <w:p w14:paraId="6F201CA2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DF75AB4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Klemenčič, M. (2022). </w:t>
      </w:r>
      <w:r w:rsidRPr="00F5097C">
        <w:rPr>
          <w:rFonts w:ascii="Bahnschrift" w:hAnsi="Bahnschrift"/>
          <w:i/>
          <w:iCs/>
        </w:rPr>
        <w:t>Student and staff participation in higher education governance.</w:t>
      </w:r>
      <w:r w:rsidRPr="00F5097C">
        <w:rPr>
          <w:rFonts w:ascii="Bahnschrift" w:hAnsi="Bahnschrift"/>
        </w:rPr>
        <w:t xml:space="preserve"> European Higher Education Area (EHEA).</w:t>
      </w:r>
    </w:p>
    <w:p w14:paraId="555F7BF0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B228A24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Kurtz, S., Draper, J., &amp; Silverman, J. (2016). </w:t>
      </w:r>
      <w:r w:rsidRPr="00A84160">
        <w:rPr>
          <w:rFonts w:ascii="Bahnschrift" w:hAnsi="Bahnschrift"/>
          <w:i/>
          <w:iCs/>
        </w:rPr>
        <w:t>Teaching and learning communication skills in medicine</w:t>
      </w:r>
      <w:r w:rsidRPr="00F5097C">
        <w:rPr>
          <w:rFonts w:ascii="Bahnschrift" w:hAnsi="Bahnschrift"/>
        </w:rPr>
        <w:t xml:space="preserve"> </w:t>
      </w:r>
      <w:r w:rsidRPr="00A84160">
        <w:rPr>
          <w:rFonts w:ascii="Bahnschrift" w:hAnsi="Bahnschrift"/>
          <w:i/>
          <w:iCs/>
        </w:rPr>
        <w:t>(2nd ed.).</w:t>
      </w:r>
      <w:r w:rsidRPr="00F5097C">
        <w:rPr>
          <w:rFonts w:ascii="Bahnschrift" w:hAnsi="Bahnschrift"/>
        </w:rPr>
        <w:t xml:space="preserve"> CRC Press.</w:t>
      </w:r>
    </w:p>
    <w:p w14:paraId="3404520D" w14:textId="77777777" w:rsidR="006776EF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71A6CC2" w14:textId="2BA6AB3F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Li, Y., &amp; Chen, Q. (2025). Institutional logics in Chinese medical education reform. </w:t>
      </w:r>
      <w:r w:rsidRPr="00F5097C">
        <w:rPr>
          <w:rFonts w:ascii="Bahnschrift" w:hAnsi="Bahnschrift"/>
          <w:i/>
          <w:iCs/>
        </w:rPr>
        <w:t>Studies in Higher Education, 50</w:t>
      </w:r>
      <w:r w:rsidRPr="00F5097C">
        <w:rPr>
          <w:rFonts w:ascii="Bahnschrift" w:hAnsi="Bahnschrift"/>
        </w:rPr>
        <w:t xml:space="preserve">(4), 789–805. https://doi.org/10.1080/03075079.2024.2284112 </w:t>
      </w:r>
    </w:p>
    <w:p w14:paraId="027A5F4C" w14:textId="77777777" w:rsidR="006776EF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BCB149D" w14:textId="5C59F78A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Li, Z., Sun, M., &amp; Wang, X. (2022). Digital transformation and administrative efficiency in Chinese universities. </w:t>
      </w:r>
      <w:r w:rsidRPr="00F5097C">
        <w:rPr>
          <w:rFonts w:ascii="Bahnschrift" w:hAnsi="Bahnschrift"/>
          <w:i/>
          <w:iCs/>
        </w:rPr>
        <w:t>International Journal of Educational Management, 36</w:t>
      </w:r>
      <w:r w:rsidRPr="00F5097C">
        <w:rPr>
          <w:rFonts w:ascii="Bahnschrift" w:hAnsi="Bahnschrift"/>
        </w:rPr>
        <w:t xml:space="preserve">(6), 893–908. https://doi.org/10.1108/IJEM-12-2021-0461 </w:t>
      </w:r>
    </w:p>
    <w:p w14:paraId="58E27F1C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433383B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Ling, X., Zhao, L., &amp; Hu, W. (2024). Reforming medical training under the “5+3+X” model in China. </w:t>
      </w:r>
      <w:r w:rsidRPr="00F5097C">
        <w:rPr>
          <w:rFonts w:ascii="Bahnschrift" w:hAnsi="Bahnschrift"/>
          <w:i/>
          <w:iCs/>
        </w:rPr>
        <w:t>BMC Medical Education, 24</w:t>
      </w:r>
      <w:r w:rsidRPr="00F5097C">
        <w:rPr>
          <w:rFonts w:ascii="Bahnschrift" w:hAnsi="Bahnschrift"/>
        </w:rPr>
        <w:t xml:space="preserve">(1), 52. https://doi.org/10.1186/s12909-024-05052-8 </w:t>
      </w:r>
    </w:p>
    <w:p w14:paraId="3C00E7DB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CB8DC9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Lysaght, T., Wong, A., &amp; Loh, E. (2019). Moral reasoning and ethics education in medical training. </w:t>
      </w:r>
      <w:r w:rsidRPr="00F5097C">
        <w:rPr>
          <w:rFonts w:ascii="Bahnschrift" w:hAnsi="Bahnschrift"/>
          <w:i/>
          <w:iCs/>
        </w:rPr>
        <w:t>Medical Education, 53</w:t>
      </w:r>
      <w:r w:rsidRPr="00F5097C">
        <w:rPr>
          <w:rFonts w:ascii="Bahnschrift" w:hAnsi="Bahnschrift"/>
        </w:rPr>
        <w:t xml:space="preserve">(9), 902–914. https://doi.org/10.1111/medu.13843 </w:t>
      </w:r>
    </w:p>
    <w:p w14:paraId="610B0799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F2F5F88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Menezes, P., Guraya, S. Y., &amp; Guraya, S. S. (2021). Medical professionalism and humanistic education. </w:t>
      </w:r>
      <w:r w:rsidRPr="00F5097C">
        <w:rPr>
          <w:rFonts w:ascii="Bahnschrift" w:hAnsi="Bahnschrift"/>
          <w:i/>
          <w:iCs/>
        </w:rPr>
        <w:t>Journal of Taibah University Medical Sciences, 16</w:t>
      </w:r>
      <w:r w:rsidRPr="00F5097C">
        <w:rPr>
          <w:rFonts w:ascii="Bahnschrift" w:hAnsi="Bahnschrift"/>
        </w:rPr>
        <w:t xml:space="preserve">(3), 457–464. https://doi.org/10.1016/j.jtumed.2021.02.008 </w:t>
      </w:r>
    </w:p>
    <w:p w14:paraId="5770D446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E8C629D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Mintzberg, H. (2017). </w:t>
      </w:r>
      <w:r w:rsidRPr="00F5097C">
        <w:rPr>
          <w:rFonts w:ascii="Bahnschrift" w:hAnsi="Bahnschrift"/>
          <w:i/>
          <w:iCs/>
        </w:rPr>
        <w:t>Managing the myths of health care.</w:t>
      </w:r>
      <w:r w:rsidRPr="00F5097C">
        <w:rPr>
          <w:rFonts w:ascii="Bahnschrift" w:hAnsi="Bahnschrift"/>
        </w:rPr>
        <w:t xml:space="preserve"> Berrett-Koehler.</w:t>
      </w:r>
    </w:p>
    <w:p w14:paraId="0AAFEB11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D9B056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Neumann, M., Edelhäuser, F., Tauschel, D., et al. (2021). Empathy decline and its prevention in medical education. </w:t>
      </w:r>
      <w:r w:rsidRPr="00F5097C">
        <w:rPr>
          <w:rFonts w:ascii="Bahnschrift" w:hAnsi="Bahnschrift"/>
          <w:i/>
          <w:iCs/>
        </w:rPr>
        <w:t>Academic Medicine, 96</w:t>
      </w:r>
      <w:r w:rsidRPr="00F5097C">
        <w:rPr>
          <w:rFonts w:ascii="Bahnschrift" w:hAnsi="Bahnschrift"/>
        </w:rPr>
        <w:t xml:space="preserve">(10), 1441–1452. https://doi.org/10.1097/ACM.0000000000004163 </w:t>
      </w:r>
    </w:p>
    <w:p w14:paraId="4F4E9FD1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6560732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>Ngo, H. T., Tran, P., &amp; Nguyen, L. (2025). Effectiveness of empathy interventions in medical education: A meta</w:t>
      </w:r>
      <w:r>
        <w:rPr>
          <w:rFonts w:ascii="Bahnschrift" w:hAnsi="Bahnschrift"/>
        </w:rPr>
        <w:t>-</w:t>
      </w:r>
      <w:r w:rsidRPr="00F5097C">
        <w:rPr>
          <w:rFonts w:ascii="Bahnschrift" w:hAnsi="Bahnschrift"/>
        </w:rPr>
        <w:t xml:space="preserve">analysis. </w:t>
      </w:r>
      <w:r w:rsidRPr="00F5097C">
        <w:rPr>
          <w:rFonts w:ascii="Bahnschrift" w:hAnsi="Bahnschrift"/>
          <w:i/>
          <w:iCs/>
        </w:rPr>
        <w:t>Medical Education, 59</w:t>
      </w:r>
      <w:r w:rsidRPr="00F5097C">
        <w:rPr>
          <w:rFonts w:ascii="Bahnschrift" w:hAnsi="Bahnschrift"/>
        </w:rPr>
        <w:t xml:space="preserve">(1), 34–47. https://doi.org/10.1111/medu.15011 </w:t>
      </w:r>
    </w:p>
    <w:p w14:paraId="7D5EBCB6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71E279C" w14:textId="28B2CB33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Nunnally, J. C. (1978). Psychometric theory (2nd ed.). </w:t>
      </w:r>
      <w:r w:rsidRPr="00F5097C">
        <w:rPr>
          <w:rFonts w:ascii="Bahnschrift" w:hAnsi="Bahnschrift"/>
          <w:i/>
          <w:iCs/>
        </w:rPr>
        <w:t>McGraw Hill</w:t>
      </w:r>
      <w:r w:rsidRPr="00F5097C">
        <w:rPr>
          <w:rFonts w:ascii="Bahnschrift" w:hAnsi="Bahnschrift"/>
        </w:rPr>
        <w:t>.</w:t>
      </w:r>
    </w:p>
    <w:p w14:paraId="7AE23AE0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lastRenderedPageBreak/>
        <w:t xml:space="preserve">Passi, V., Doug, M., Peile, E., Thistlethwaite, J., &amp; Johnson, N. (2010). Developing medical professionalism in future doctors: A systematic review. </w:t>
      </w:r>
      <w:r w:rsidRPr="00F5097C">
        <w:rPr>
          <w:rFonts w:ascii="Bahnschrift" w:hAnsi="Bahnschrift"/>
          <w:i/>
          <w:iCs/>
        </w:rPr>
        <w:t>International Journal of Medical Education, 1,</w:t>
      </w:r>
      <w:r w:rsidRPr="00F5097C">
        <w:rPr>
          <w:rFonts w:ascii="Bahnschrift" w:hAnsi="Bahnschrift"/>
        </w:rPr>
        <w:t xml:space="preserve"> 19–29. https://doi.org/10.5116/ijme.4bda.ca2a</w:t>
      </w:r>
    </w:p>
    <w:p w14:paraId="53F98DD9" w14:textId="77777777" w:rsidR="006776EF" w:rsidRPr="00F5097C" w:rsidRDefault="006776EF" w:rsidP="006776E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7C39C05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Scott, W. R., Ruef, M., Mendel, P. J., &amp; Caronna, C. A. (2022). Institutional change and healthcare organizations (rev. ed.). </w:t>
      </w:r>
      <w:r w:rsidRPr="00F5097C">
        <w:rPr>
          <w:rFonts w:ascii="Bahnschrift" w:hAnsi="Bahnschrift"/>
          <w:i/>
          <w:iCs/>
        </w:rPr>
        <w:t>University of Chicago Press</w:t>
      </w:r>
      <w:r w:rsidRPr="00F5097C">
        <w:rPr>
          <w:rFonts w:ascii="Bahnschrift" w:hAnsi="Bahnschrift"/>
        </w:rPr>
        <w:t>.</w:t>
      </w:r>
    </w:p>
    <w:p w14:paraId="16452BA8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6A89C93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>Silverman, J., Kurtz, S., &amp; Draper, J. (2013). Skills for communicating with patients (3rd ed.). Radcliffe Publishing.</w:t>
      </w:r>
    </w:p>
    <w:p w14:paraId="3D8BBDB8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4FA21AC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Taber, K. S. (2018). The use of Cronbach’s alpha when developing instruments. </w:t>
      </w:r>
      <w:r w:rsidRPr="00F5097C">
        <w:rPr>
          <w:rFonts w:ascii="Bahnschrift" w:hAnsi="Bahnschrift"/>
          <w:i/>
          <w:iCs/>
        </w:rPr>
        <w:t>Research in Science Education, 48</w:t>
      </w:r>
      <w:r w:rsidRPr="00F5097C">
        <w:rPr>
          <w:rFonts w:ascii="Bahnschrift" w:hAnsi="Bahnschrift"/>
        </w:rPr>
        <w:t xml:space="preserve">(6), 1273–1296. https://doi.org/10.1007/s11165-016-9602-2 </w:t>
      </w:r>
    </w:p>
    <w:p w14:paraId="7AEA978D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4C4F4C9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Taherdoost, H. (2020). Validity and reliability of the research instrument. </w:t>
      </w:r>
      <w:r w:rsidRPr="00F5097C">
        <w:rPr>
          <w:rFonts w:ascii="Bahnschrift" w:hAnsi="Bahnschrift"/>
          <w:i/>
          <w:iCs/>
        </w:rPr>
        <w:t>International Journal of Academic Research in Management, 5</w:t>
      </w:r>
      <w:r w:rsidRPr="00F5097C">
        <w:rPr>
          <w:rFonts w:ascii="Bahnschrift" w:hAnsi="Bahnschrift"/>
        </w:rPr>
        <w:t>(3), 28–36.</w:t>
      </w:r>
    </w:p>
    <w:p w14:paraId="62EF8089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22E67B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UN DESA. (n.d.). </w:t>
      </w:r>
      <w:r w:rsidRPr="00F5097C">
        <w:rPr>
          <w:rFonts w:ascii="Bahnschrift" w:hAnsi="Bahnschrift"/>
          <w:i/>
          <w:iCs/>
        </w:rPr>
        <w:t>Sustainable Development Goals.</w:t>
      </w:r>
      <w:r w:rsidRPr="00F5097C">
        <w:rPr>
          <w:rFonts w:ascii="Bahnschrift" w:hAnsi="Bahnschrift"/>
        </w:rPr>
        <w:t xml:space="preserve"> https://sdgs.un.org </w:t>
      </w:r>
    </w:p>
    <w:p w14:paraId="6AF0C6EF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20CBF41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Wear, D., Zarconi, J., Garden, R., &amp; Jones, T. (2020). Reflection in/and writing pedagogy in medical education. </w:t>
      </w:r>
      <w:r w:rsidRPr="00F5097C">
        <w:rPr>
          <w:rFonts w:ascii="Bahnschrift" w:hAnsi="Bahnschrift"/>
          <w:i/>
          <w:iCs/>
        </w:rPr>
        <w:t>Academic Medicine, 95</w:t>
      </w:r>
      <w:r w:rsidRPr="00F5097C">
        <w:rPr>
          <w:rFonts w:ascii="Bahnschrift" w:hAnsi="Bahnschrift"/>
        </w:rPr>
        <w:t xml:space="preserve">(6), 861–867. https://doi.org/10.1097/ACM.0000000000003055 </w:t>
      </w:r>
    </w:p>
    <w:p w14:paraId="2E11E0FA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F0B1C8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Wang, Y. (2021). Medical education reform and professional training in China. </w:t>
      </w:r>
      <w:r w:rsidRPr="00F5097C">
        <w:rPr>
          <w:rFonts w:ascii="Bahnschrift" w:hAnsi="Bahnschrift"/>
          <w:i/>
          <w:iCs/>
        </w:rPr>
        <w:t>Chinese Journal of Medical Education, 41</w:t>
      </w:r>
      <w:r w:rsidRPr="00F5097C">
        <w:rPr>
          <w:rFonts w:ascii="Bahnschrift" w:hAnsi="Bahnschrift"/>
        </w:rPr>
        <w:t>(2), 85–90.</w:t>
      </w:r>
    </w:p>
    <w:p w14:paraId="72E13320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4733B00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Working Committee for the Accreditation of Medical Education, [WCAME]. (2022). </w:t>
      </w:r>
      <w:r w:rsidRPr="00F5097C">
        <w:rPr>
          <w:rFonts w:ascii="Bahnschrift" w:hAnsi="Bahnschrift"/>
          <w:i/>
          <w:iCs/>
        </w:rPr>
        <w:t>Standards for basic medical education: 2022 revision</w:t>
      </w:r>
      <w:r w:rsidRPr="00F5097C">
        <w:rPr>
          <w:rFonts w:ascii="Bahnschrift" w:hAnsi="Bahnschrift"/>
        </w:rPr>
        <w:t>. WCAME.</w:t>
      </w:r>
    </w:p>
    <w:p w14:paraId="13AB49E4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D3E6FF8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World Federation for Medical Education, [WFME]. (2020). </w:t>
      </w:r>
      <w:r w:rsidRPr="00F5097C">
        <w:rPr>
          <w:rFonts w:ascii="Bahnschrift" w:hAnsi="Bahnschrift"/>
          <w:i/>
          <w:iCs/>
        </w:rPr>
        <w:t>WFME global standards for quality improvement in medical education</w:t>
      </w:r>
      <w:r w:rsidRPr="00F5097C">
        <w:rPr>
          <w:rFonts w:ascii="Bahnschrift" w:hAnsi="Bahnschrift"/>
        </w:rPr>
        <w:t xml:space="preserve">. https://wfme.org </w:t>
      </w:r>
    </w:p>
    <w:p w14:paraId="4F5A4327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4CF02A3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Zhang, Y., Sun, Y., &amp; Xie, J. (2023). Administrative efficiency and governance mechanisms in Chinese medical universities. </w:t>
      </w:r>
      <w:r w:rsidRPr="00F5097C">
        <w:rPr>
          <w:rFonts w:ascii="Bahnschrift" w:hAnsi="Bahnschrift"/>
          <w:i/>
          <w:iCs/>
        </w:rPr>
        <w:t>BMC Medical Education, 23</w:t>
      </w:r>
      <w:r w:rsidRPr="00F5097C">
        <w:rPr>
          <w:rFonts w:ascii="Bahnschrift" w:hAnsi="Bahnschrift"/>
        </w:rPr>
        <w:t>(1), 412. https://doi.org/10.1186/s12909-023-04312-6</w:t>
      </w:r>
    </w:p>
    <w:p w14:paraId="24A50E65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25F0BC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Zhang, Z., Liu, H., &amp; Xu, Q. (2022). Medical humanities education and narrative practice in China. </w:t>
      </w:r>
      <w:r w:rsidRPr="00F5097C">
        <w:rPr>
          <w:rFonts w:ascii="Bahnschrift" w:hAnsi="Bahnschrift"/>
          <w:i/>
          <w:iCs/>
        </w:rPr>
        <w:t>Medical Teacher, 44</w:t>
      </w:r>
      <w:r w:rsidRPr="00F5097C">
        <w:rPr>
          <w:rFonts w:ascii="Bahnschrift" w:hAnsi="Bahnschrift"/>
        </w:rPr>
        <w:t>(9), 978–985. https://doi.org/10.1080/0142159X.2022.2034576</w:t>
      </w:r>
    </w:p>
    <w:p w14:paraId="29915768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7D2F50A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 xml:space="preserve">Zhou, Y. (2025). Performance based governance in Chinese healthcare institutions. </w:t>
      </w:r>
      <w:r w:rsidRPr="00F5097C">
        <w:rPr>
          <w:rFonts w:ascii="Bahnschrift" w:hAnsi="Bahnschrift"/>
          <w:i/>
          <w:iCs/>
        </w:rPr>
        <w:t>Health Services Research, 60</w:t>
      </w:r>
      <w:r w:rsidRPr="00F5097C">
        <w:rPr>
          <w:rFonts w:ascii="Bahnschrift" w:hAnsi="Bahnschrift"/>
        </w:rPr>
        <w:t>(1), 112–125. https://doi.org/10.1111/1475-6773.14125</w:t>
      </w:r>
    </w:p>
    <w:p w14:paraId="030F6CAF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1C92635" w14:textId="77777777" w:rsidR="006776EF" w:rsidRPr="00F5097C" w:rsidRDefault="006776EF" w:rsidP="006776E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F5097C">
        <w:rPr>
          <w:rFonts w:ascii="Bahnschrift" w:hAnsi="Bahnschrift"/>
        </w:rPr>
        <w:t>Zhou, Z., Li, M., &amp; Chen, L. (2023). Student perceptions of humanistic training in Chinese medical schools</w:t>
      </w:r>
      <w:r w:rsidRPr="00F5097C">
        <w:rPr>
          <w:rFonts w:ascii="Bahnschrift" w:hAnsi="Bahnschrift"/>
          <w:i/>
          <w:iCs/>
        </w:rPr>
        <w:t>. BMC Medical Education, 23</w:t>
      </w:r>
      <w:r w:rsidRPr="00F5097C">
        <w:rPr>
          <w:rFonts w:ascii="Bahnschrift" w:hAnsi="Bahnschrift"/>
        </w:rPr>
        <w:t>(1), 88. https://doi.org/10.1186/s12909-023-04015-7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E2286" w14:textId="77777777" w:rsidR="00FB6F27" w:rsidRDefault="00FB6F27" w:rsidP="00290EE2">
      <w:pPr>
        <w:spacing w:after="0" w:line="240" w:lineRule="auto"/>
      </w:pPr>
      <w:r>
        <w:separator/>
      </w:r>
    </w:p>
  </w:endnote>
  <w:endnote w:type="continuationSeparator" w:id="0">
    <w:p w14:paraId="11394844" w14:textId="77777777" w:rsidR="00FB6F27" w:rsidRDefault="00FB6F2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06CBBB" w14:textId="77777777" w:rsidR="00FB6F27" w:rsidRDefault="00FB6F27" w:rsidP="00290EE2">
      <w:pPr>
        <w:spacing w:after="0" w:line="240" w:lineRule="auto"/>
      </w:pPr>
      <w:r>
        <w:separator/>
      </w:r>
    </w:p>
  </w:footnote>
  <w:footnote w:type="continuationSeparator" w:id="0">
    <w:p w14:paraId="01D722B7" w14:textId="77777777" w:rsidR="00FB6F27" w:rsidRDefault="00FB6F2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CB34BC"/>
    <w:multiLevelType w:val="multilevel"/>
    <w:tmpl w:val="A7DE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C864D4"/>
    <w:multiLevelType w:val="multilevel"/>
    <w:tmpl w:val="AE241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4"/>
  </w:num>
  <w:num w:numId="2" w16cid:durableId="1840268275">
    <w:abstractNumId w:val="11"/>
  </w:num>
  <w:num w:numId="3" w16cid:durableId="2000771353">
    <w:abstractNumId w:val="40"/>
  </w:num>
  <w:num w:numId="4" w16cid:durableId="2116243982">
    <w:abstractNumId w:val="36"/>
  </w:num>
  <w:num w:numId="5" w16cid:durableId="1848906244">
    <w:abstractNumId w:val="16"/>
  </w:num>
  <w:num w:numId="6" w16cid:durableId="1097823186">
    <w:abstractNumId w:val="33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7"/>
  </w:num>
  <w:num w:numId="10" w16cid:durableId="657853467">
    <w:abstractNumId w:val="30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2"/>
  </w:num>
  <w:num w:numId="14" w16cid:durableId="1610159056">
    <w:abstractNumId w:val="29"/>
  </w:num>
  <w:num w:numId="15" w16cid:durableId="1035691151">
    <w:abstractNumId w:val="23"/>
  </w:num>
  <w:num w:numId="16" w16cid:durableId="1345325102">
    <w:abstractNumId w:val="6"/>
  </w:num>
  <w:num w:numId="17" w16cid:durableId="1939287957">
    <w:abstractNumId w:val="41"/>
  </w:num>
  <w:num w:numId="18" w16cid:durableId="1050766509">
    <w:abstractNumId w:val="5"/>
  </w:num>
  <w:num w:numId="19" w16cid:durableId="2067869038">
    <w:abstractNumId w:val="39"/>
  </w:num>
  <w:num w:numId="20" w16cid:durableId="926382073">
    <w:abstractNumId w:val="34"/>
  </w:num>
  <w:num w:numId="21" w16cid:durableId="175774230">
    <w:abstractNumId w:val="31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8"/>
  </w:num>
  <w:num w:numId="26" w16cid:durableId="1921407878">
    <w:abstractNumId w:val="19"/>
  </w:num>
  <w:num w:numId="27" w16cid:durableId="1137604831">
    <w:abstractNumId w:val="38"/>
  </w:num>
  <w:num w:numId="28" w16cid:durableId="1843815622">
    <w:abstractNumId w:val="22"/>
  </w:num>
  <w:num w:numId="29" w16cid:durableId="1984578508">
    <w:abstractNumId w:val="20"/>
  </w:num>
  <w:num w:numId="30" w16cid:durableId="1087849804">
    <w:abstractNumId w:val="18"/>
  </w:num>
  <w:num w:numId="31" w16cid:durableId="1535196864">
    <w:abstractNumId w:val="21"/>
  </w:num>
  <w:num w:numId="32" w16cid:durableId="1006328205">
    <w:abstractNumId w:val="37"/>
  </w:num>
  <w:num w:numId="33" w16cid:durableId="2076972064">
    <w:abstractNumId w:val="26"/>
  </w:num>
  <w:num w:numId="34" w16cid:durableId="1405879234">
    <w:abstractNumId w:val="15"/>
  </w:num>
  <w:num w:numId="35" w16cid:durableId="1221095569">
    <w:abstractNumId w:val="35"/>
  </w:num>
  <w:num w:numId="36" w16cid:durableId="759450845">
    <w:abstractNumId w:val="25"/>
  </w:num>
  <w:num w:numId="37" w16cid:durableId="869100768">
    <w:abstractNumId w:val="1"/>
  </w:num>
  <w:num w:numId="38" w16cid:durableId="505630791">
    <w:abstractNumId w:val="13"/>
  </w:num>
  <w:num w:numId="39" w16cid:durableId="1763648156">
    <w:abstractNumId w:val="8"/>
  </w:num>
  <w:num w:numId="40" w16cid:durableId="544607842">
    <w:abstractNumId w:val="24"/>
  </w:num>
  <w:num w:numId="41" w16cid:durableId="462112821">
    <w:abstractNumId w:val="12"/>
  </w:num>
  <w:num w:numId="42" w16cid:durableId="177694476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61CD7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E51ED"/>
    <w:rsid w:val="001F54EA"/>
    <w:rsid w:val="00237DD0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31F74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67EA0"/>
    <w:rsid w:val="00592848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776EF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50141"/>
    <w:rsid w:val="00A65CDD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56593"/>
    <w:rsid w:val="00C833B7"/>
    <w:rsid w:val="00D12E17"/>
    <w:rsid w:val="00D13110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5CBF"/>
    <w:rsid w:val="00E02438"/>
    <w:rsid w:val="00E03E24"/>
    <w:rsid w:val="00E5333A"/>
    <w:rsid w:val="00E84A47"/>
    <w:rsid w:val="00EA227F"/>
    <w:rsid w:val="00EB2813"/>
    <w:rsid w:val="00EC4E5D"/>
    <w:rsid w:val="00EC63F4"/>
    <w:rsid w:val="00F04034"/>
    <w:rsid w:val="00F23CBA"/>
    <w:rsid w:val="00F462FC"/>
    <w:rsid w:val="00F563EA"/>
    <w:rsid w:val="00F74DF4"/>
    <w:rsid w:val="00FB6F27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76EF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3</Pages>
  <Words>1085</Words>
  <Characters>6186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55</cp:revision>
  <cp:lastPrinted>2026-02-21T05:03:00Z</cp:lastPrinted>
  <dcterms:created xsi:type="dcterms:W3CDTF">2025-12-03T11:08:00Z</dcterms:created>
  <dcterms:modified xsi:type="dcterms:W3CDTF">2026-07-07T15:41:00Z</dcterms:modified>
</cp:coreProperties>
</file>