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DB9BC7" w14:textId="77777777" w:rsidR="008320B8" w:rsidRPr="007D64F2" w:rsidRDefault="008320B8" w:rsidP="008320B8">
      <w:pPr>
        <w:suppressLineNumbers/>
        <w:spacing w:after="0" w:line="240" w:lineRule="auto"/>
        <w:jc w:val="both"/>
        <w:rPr>
          <w:rFonts w:ascii="Arial Rounded MT Bold" w:hAnsi="Arial Rounded MT Bold"/>
          <w:b/>
          <w:bCs/>
        </w:rPr>
      </w:pPr>
      <w:r w:rsidRPr="00FC0AD2">
        <w:rPr>
          <w:rFonts w:ascii="Arial Rounded MT Bold" w:eastAsia="Bahnschrift" w:hAnsi="Arial Rounded MT Bold" w:cs="Bahnschrift"/>
          <w:b/>
          <w:bCs/>
        </w:rPr>
        <w:t>REFERENCES</w:t>
      </w:r>
    </w:p>
    <w:p w14:paraId="32F429BD" w14:textId="77777777" w:rsidR="008320B8" w:rsidRDefault="008320B8" w:rsidP="008320B8">
      <w:pPr>
        <w:suppressLineNumbers/>
        <w:spacing w:after="0" w:line="240" w:lineRule="auto"/>
        <w:jc w:val="both"/>
        <w:rPr>
          <w:rFonts w:ascii="Bahnschrift" w:hAnsi="Bahnschrift"/>
        </w:rPr>
      </w:pPr>
    </w:p>
    <w:p w14:paraId="5BF208A8" w14:textId="77777777" w:rsidR="008320B8" w:rsidRPr="0000398F" w:rsidRDefault="008320B8" w:rsidP="008320B8">
      <w:pPr>
        <w:suppressLineNumbers/>
        <w:spacing w:after="0" w:line="240" w:lineRule="auto"/>
        <w:ind w:left="720" w:hanging="720"/>
        <w:jc w:val="both"/>
        <w:rPr>
          <w:rFonts w:ascii="Bahnschrift" w:hAnsi="Bahnschrift"/>
        </w:rPr>
      </w:pPr>
      <w:r w:rsidRPr="0000398F">
        <w:rPr>
          <w:rFonts w:ascii="Bahnschrift" w:hAnsi="Bahnschrift"/>
        </w:rPr>
        <w:t xml:space="preserve">Babour, A., Bitar, H., Alzamzami, O., Alahmadi, D., Barsheed, A., Alghamdi, A., &amp; Almshjary, H. (2023). Intelligent gloves: An IT intervention for deaf-mute people. </w:t>
      </w:r>
      <w:r w:rsidRPr="0000398F">
        <w:rPr>
          <w:rFonts w:ascii="Bahnschrift" w:hAnsi="Bahnschrift"/>
          <w:i/>
          <w:iCs/>
        </w:rPr>
        <w:t>Journal of Intelligent Systems, 32</w:t>
      </w:r>
      <w:r w:rsidRPr="0000398F">
        <w:rPr>
          <w:rFonts w:ascii="Bahnschrift" w:hAnsi="Bahnschrift"/>
        </w:rPr>
        <w:t>(1). https://doi.org/10.1515/jisys-2022-0076</w:t>
      </w:r>
    </w:p>
    <w:p w14:paraId="6F42FC6E" w14:textId="77777777" w:rsidR="008320B8" w:rsidRPr="0000398F" w:rsidRDefault="008320B8" w:rsidP="008320B8">
      <w:pPr>
        <w:suppressLineNumbers/>
        <w:spacing w:after="0" w:line="240" w:lineRule="auto"/>
        <w:ind w:left="720" w:hanging="720"/>
        <w:jc w:val="both"/>
        <w:rPr>
          <w:rFonts w:ascii="Bahnschrift" w:hAnsi="Bahnschrift"/>
        </w:rPr>
      </w:pPr>
    </w:p>
    <w:p w14:paraId="77DAFB46" w14:textId="77777777" w:rsidR="008320B8" w:rsidRPr="0000398F" w:rsidRDefault="008320B8" w:rsidP="008320B8">
      <w:pPr>
        <w:suppressLineNumbers/>
        <w:spacing w:after="0" w:line="240" w:lineRule="auto"/>
        <w:ind w:left="720" w:hanging="720"/>
        <w:jc w:val="both"/>
        <w:rPr>
          <w:rFonts w:ascii="Bahnschrift" w:hAnsi="Bahnschrift"/>
        </w:rPr>
      </w:pPr>
      <w:r w:rsidRPr="0000398F">
        <w:rPr>
          <w:rFonts w:ascii="Bahnschrift" w:hAnsi="Bahnschrift"/>
        </w:rPr>
        <w:t xml:space="preserve">Dahanayaka, D. T. D. M., Madhusanka, B. G. D. A., &amp; Atthanayake, I. U. (2021). A multi-modular approach for sign language and speech recognition for Deaf-Mute people. </w:t>
      </w:r>
      <w:r w:rsidRPr="0000398F">
        <w:rPr>
          <w:rFonts w:ascii="Bahnschrift" w:hAnsi="Bahnschrift"/>
          <w:i/>
          <w:iCs/>
        </w:rPr>
        <w:t>Engineer Journal of the Institution of Engineers Sri Lanka, 54</w:t>
      </w:r>
      <w:r w:rsidRPr="0000398F">
        <w:rPr>
          <w:rFonts w:ascii="Bahnschrift" w:hAnsi="Bahnschrift"/>
        </w:rPr>
        <w:t>(4), 97. https://doi.org/10.4038/engineer.v54i4.7474.</w:t>
      </w:r>
    </w:p>
    <w:p w14:paraId="26E69B40" w14:textId="77777777" w:rsidR="008320B8" w:rsidRPr="0000398F" w:rsidRDefault="008320B8" w:rsidP="008320B8">
      <w:pPr>
        <w:suppressLineNumbers/>
        <w:spacing w:after="0" w:line="240" w:lineRule="auto"/>
        <w:ind w:left="720" w:hanging="720"/>
        <w:jc w:val="both"/>
        <w:rPr>
          <w:rFonts w:ascii="Bahnschrift" w:hAnsi="Bahnschrift"/>
        </w:rPr>
      </w:pPr>
    </w:p>
    <w:p w14:paraId="77DEB299" w14:textId="77777777" w:rsidR="008320B8" w:rsidRPr="0000398F" w:rsidRDefault="008320B8" w:rsidP="008320B8">
      <w:pPr>
        <w:suppressLineNumbers/>
        <w:spacing w:after="0" w:line="240" w:lineRule="auto"/>
        <w:ind w:left="720" w:hanging="720"/>
        <w:jc w:val="both"/>
        <w:rPr>
          <w:rFonts w:ascii="Bahnschrift" w:hAnsi="Bahnschrift"/>
        </w:rPr>
      </w:pPr>
      <w:r w:rsidRPr="0000398F">
        <w:rPr>
          <w:rFonts w:ascii="Bahnschrift" w:hAnsi="Bahnschrift"/>
        </w:rPr>
        <w:t xml:space="preserve">Fahad, A. A., Hassan, H. J., &amp; Abdullah, S. H. (2020). Deep learning-based deaf &amp; mute gesture translation system. </w:t>
      </w:r>
      <w:r w:rsidRPr="0000398F">
        <w:rPr>
          <w:rFonts w:ascii="Bahnschrift" w:hAnsi="Bahnschrift"/>
          <w:i/>
          <w:iCs/>
        </w:rPr>
        <w:t>International Journal of Science and Research (IJSR), 9</w:t>
      </w:r>
      <w:r w:rsidRPr="0000398F">
        <w:rPr>
          <w:rFonts w:ascii="Bahnschrift" w:hAnsi="Bahnschrift"/>
        </w:rPr>
        <w:t xml:space="preserve">(5), 288–292. </w:t>
      </w:r>
      <w:hyperlink r:id="rId7" w:history="1">
        <w:r w:rsidRPr="0000398F">
          <w:rPr>
            <w:rFonts w:ascii="Bahnschrift" w:hAnsi="Bahnschrift"/>
          </w:rPr>
          <w:t>https://doi.org/10.21275/SR20503031800</w:t>
        </w:r>
      </w:hyperlink>
    </w:p>
    <w:p w14:paraId="35769B4F" w14:textId="77777777" w:rsidR="008320B8" w:rsidRPr="0000398F" w:rsidRDefault="008320B8" w:rsidP="008320B8">
      <w:pPr>
        <w:suppressLineNumbers/>
        <w:spacing w:after="0" w:line="240" w:lineRule="auto"/>
        <w:ind w:left="720" w:hanging="720"/>
        <w:jc w:val="both"/>
        <w:rPr>
          <w:rFonts w:ascii="Bahnschrift" w:hAnsi="Bahnschrift"/>
        </w:rPr>
      </w:pPr>
    </w:p>
    <w:p w14:paraId="2230E5C4" w14:textId="77777777" w:rsidR="008320B8" w:rsidRPr="0000398F" w:rsidRDefault="008320B8" w:rsidP="008320B8">
      <w:pPr>
        <w:suppressLineNumbers/>
        <w:spacing w:after="0" w:line="240" w:lineRule="auto"/>
        <w:ind w:left="720" w:hanging="720"/>
        <w:jc w:val="both"/>
        <w:rPr>
          <w:rFonts w:ascii="Bahnschrift" w:hAnsi="Bahnschrift"/>
        </w:rPr>
      </w:pPr>
      <w:r w:rsidRPr="0000398F">
        <w:rPr>
          <w:rFonts w:ascii="Bahnschrift" w:hAnsi="Bahnschrift"/>
        </w:rPr>
        <w:t xml:space="preserve">Hanani, F. G. J., &amp; Ismael, A. (2022). Kinect to Connect: A two-way sign language gesture sensor desktop application that can translate gesture-text and text-gesture. </w:t>
      </w:r>
      <w:r w:rsidRPr="0000398F">
        <w:rPr>
          <w:rFonts w:ascii="Bahnschrift" w:hAnsi="Bahnschrift"/>
          <w:i/>
          <w:iCs/>
        </w:rPr>
        <w:t>Journal of Computing and Innovation, 6</w:t>
      </w:r>
      <w:r w:rsidRPr="0000398F">
        <w:rPr>
          <w:rFonts w:ascii="Bahnschrift" w:hAnsi="Bahnschrift"/>
        </w:rPr>
        <w:t>(1), 127–141. https://ejournals.ph/article.php?id=23026</w:t>
      </w:r>
    </w:p>
    <w:p w14:paraId="48EB4F4B" w14:textId="77777777" w:rsidR="008320B8" w:rsidRPr="0000398F" w:rsidRDefault="008320B8" w:rsidP="008320B8">
      <w:pPr>
        <w:suppressLineNumbers/>
        <w:spacing w:after="0" w:line="240" w:lineRule="auto"/>
        <w:ind w:left="720" w:hanging="720"/>
        <w:jc w:val="both"/>
        <w:rPr>
          <w:rFonts w:ascii="Bahnschrift" w:hAnsi="Bahnschrift"/>
        </w:rPr>
      </w:pPr>
    </w:p>
    <w:p w14:paraId="064DC7D7" w14:textId="05DD8095" w:rsidR="008320B8" w:rsidRPr="0000398F" w:rsidRDefault="008320B8" w:rsidP="008320B8">
      <w:pPr>
        <w:suppressLineNumbers/>
        <w:spacing w:after="0" w:line="240" w:lineRule="auto"/>
        <w:ind w:left="720" w:hanging="720"/>
        <w:jc w:val="both"/>
        <w:rPr>
          <w:rFonts w:ascii="Bahnschrift" w:hAnsi="Bahnschrift"/>
        </w:rPr>
      </w:pPr>
      <w:r w:rsidRPr="0000398F">
        <w:rPr>
          <w:rFonts w:ascii="Bahnschrift" w:hAnsi="Bahnschrift"/>
        </w:rPr>
        <w:t xml:space="preserve">Mehra, V., Pandey, D., Rastogi, A., Singh, A., </w:t>
      </w:r>
      <w:r w:rsidRPr="0000398F">
        <w:rPr>
          <w:rFonts w:ascii="Bahnschrift" w:hAnsi="Bahnschrift"/>
        </w:rPr>
        <w:tab/>
        <w:t>&amp; Singh, H. P. (2020). Technological aids for deaf</w:t>
      </w:r>
      <w:r>
        <w:rPr>
          <w:rFonts w:ascii="Bahnschrift" w:hAnsi="Bahnschrift"/>
        </w:rPr>
        <w:t xml:space="preserve"> </w:t>
      </w:r>
      <w:r w:rsidRPr="0000398F">
        <w:rPr>
          <w:rFonts w:ascii="Bahnschrift" w:hAnsi="Bahnschrift"/>
        </w:rPr>
        <w:t xml:space="preserve">and mute in the modern world. </w:t>
      </w:r>
      <w:r w:rsidRPr="0000398F">
        <w:rPr>
          <w:rFonts w:ascii="Bahnschrift" w:hAnsi="Bahnschrift"/>
          <w:i/>
          <w:iCs/>
        </w:rPr>
        <w:t>Recent Patents</w:t>
      </w:r>
      <w:r w:rsidRPr="0000398F">
        <w:rPr>
          <w:rFonts w:ascii="Bahnschrift" w:hAnsi="Bahnschrift"/>
          <w:i/>
          <w:iCs/>
        </w:rPr>
        <w:tab/>
        <w:t xml:space="preserve"> on Engineering 15</w:t>
      </w:r>
      <w:r w:rsidRPr="0000398F">
        <w:rPr>
          <w:rFonts w:ascii="Bahnschrift" w:hAnsi="Bahnschrift"/>
        </w:rPr>
        <w:t>(6). https://doi.org/10.2174/1872212114999201116214802 Journal</w:t>
      </w:r>
    </w:p>
    <w:p w14:paraId="70F8438B" w14:textId="77777777" w:rsidR="008320B8" w:rsidRPr="0000398F" w:rsidRDefault="008320B8" w:rsidP="008320B8">
      <w:pPr>
        <w:suppressLineNumbers/>
        <w:spacing w:after="0" w:line="240" w:lineRule="auto"/>
        <w:ind w:left="720" w:hanging="720"/>
        <w:jc w:val="both"/>
        <w:rPr>
          <w:rFonts w:ascii="Bahnschrift" w:hAnsi="Bahnschrift"/>
        </w:rPr>
      </w:pPr>
    </w:p>
    <w:p w14:paraId="7F440D6D" w14:textId="77777777" w:rsidR="008320B8" w:rsidRPr="0000398F" w:rsidRDefault="008320B8" w:rsidP="008320B8">
      <w:pPr>
        <w:suppressLineNumbers/>
        <w:spacing w:after="0" w:line="240" w:lineRule="auto"/>
        <w:ind w:left="720" w:hanging="720"/>
        <w:jc w:val="both"/>
        <w:rPr>
          <w:rFonts w:ascii="Bahnschrift" w:hAnsi="Bahnschrift"/>
        </w:rPr>
      </w:pPr>
      <w:r w:rsidRPr="0000398F">
        <w:rPr>
          <w:rFonts w:ascii="Bahnschrift" w:hAnsi="Bahnschrift"/>
        </w:rPr>
        <w:t>Mejía-Peréz, K., Córdova-Esparza, D.-M., Terven, J., Herrera-Navarro, A.-M., García-Ramírez, T., &amp; Ramírez-Pedraza, A. (2022). Automatic recognition of Mexican Sign Language using a depth camera and recurrent neural networks. Applied Sciences, 12(11), 5523. https://doi.org/10.3390/app12115523</w:t>
      </w:r>
    </w:p>
    <w:p w14:paraId="70C3F805" w14:textId="77777777" w:rsidR="008320B8" w:rsidRPr="0000398F" w:rsidRDefault="008320B8" w:rsidP="008320B8">
      <w:pPr>
        <w:suppressLineNumbers/>
        <w:spacing w:after="0" w:line="240" w:lineRule="auto"/>
        <w:ind w:left="720" w:hanging="720"/>
        <w:jc w:val="both"/>
        <w:rPr>
          <w:rFonts w:ascii="Bahnschrift" w:hAnsi="Bahnschrift"/>
        </w:rPr>
      </w:pPr>
    </w:p>
    <w:p w14:paraId="290EC789" w14:textId="77777777" w:rsidR="008320B8" w:rsidRPr="0000398F" w:rsidRDefault="008320B8" w:rsidP="008320B8">
      <w:pPr>
        <w:suppressLineNumbers/>
        <w:spacing w:after="0" w:line="240" w:lineRule="auto"/>
        <w:ind w:left="720" w:hanging="720"/>
        <w:jc w:val="both"/>
        <w:rPr>
          <w:rFonts w:ascii="Bahnschrift" w:hAnsi="Bahnschrift"/>
        </w:rPr>
      </w:pPr>
      <w:r w:rsidRPr="0000398F">
        <w:rPr>
          <w:rFonts w:ascii="Bahnschrift" w:hAnsi="Bahnschrift"/>
        </w:rPr>
        <w:t xml:space="preserve">Sahana, T., Paul, S., Basu, S., &amp; Mollah, A. F. (2020). Hand sign recognition from depth images with multi-scale density features for deaf mute persons. </w:t>
      </w:r>
      <w:r w:rsidRPr="0000398F">
        <w:rPr>
          <w:rFonts w:ascii="Bahnschrift" w:hAnsi="Bahnschrift"/>
          <w:i/>
          <w:iCs/>
        </w:rPr>
        <w:t>Procedia Computer Science, 167</w:t>
      </w:r>
      <w:r w:rsidRPr="0000398F">
        <w:rPr>
          <w:rFonts w:ascii="Bahnschrift" w:hAnsi="Bahnschrift"/>
        </w:rPr>
        <w:t xml:space="preserve">, 2043–2050. </w:t>
      </w:r>
      <w:hyperlink r:id="rId8" w:history="1">
        <w:r w:rsidRPr="0000398F">
          <w:rPr>
            <w:rFonts w:ascii="Bahnschrift" w:hAnsi="Bahnschrift"/>
          </w:rPr>
          <w:t>https://doi.org/10.1016/j.procs.2020.03.243</w:t>
        </w:r>
      </w:hyperlink>
    </w:p>
    <w:p w14:paraId="3709A604" w14:textId="77777777" w:rsidR="008320B8" w:rsidRPr="0000398F" w:rsidRDefault="008320B8" w:rsidP="008320B8">
      <w:pPr>
        <w:suppressLineNumbers/>
        <w:spacing w:after="0" w:line="240" w:lineRule="auto"/>
        <w:ind w:left="720" w:hanging="720"/>
        <w:jc w:val="both"/>
        <w:rPr>
          <w:rFonts w:ascii="Bahnschrift" w:hAnsi="Bahnschrift"/>
        </w:rPr>
      </w:pPr>
    </w:p>
    <w:p w14:paraId="0832B9BA" w14:textId="77777777" w:rsidR="008320B8" w:rsidRPr="0000398F" w:rsidRDefault="008320B8" w:rsidP="008320B8">
      <w:pPr>
        <w:suppressLineNumbers/>
        <w:spacing w:after="0" w:line="240" w:lineRule="auto"/>
        <w:ind w:left="720" w:hanging="720"/>
        <w:jc w:val="both"/>
        <w:rPr>
          <w:rFonts w:ascii="Bahnschrift" w:hAnsi="Bahnschrift"/>
        </w:rPr>
      </w:pPr>
      <w:r w:rsidRPr="0000398F">
        <w:rPr>
          <w:rFonts w:ascii="Bahnschrift" w:hAnsi="Bahnschrift"/>
        </w:rPr>
        <w:t xml:space="preserve">Obi, Y., Claudio, K. S., Budiman, V. M., Achmad, S., &amp; Kurniawan, A. (2023). Sign language recognition system for communicating to people with disabilities. </w:t>
      </w:r>
      <w:r w:rsidRPr="0000398F">
        <w:rPr>
          <w:rFonts w:ascii="Bahnschrift" w:hAnsi="Bahnschrift"/>
          <w:i/>
          <w:iCs/>
        </w:rPr>
        <w:t>Procedia Computer Science, 216</w:t>
      </w:r>
      <w:r w:rsidRPr="0000398F">
        <w:rPr>
          <w:rFonts w:ascii="Bahnschrift" w:hAnsi="Bahnschrift"/>
        </w:rPr>
        <w:t xml:space="preserve">, 13–20. </w:t>
      </w:r>
      <w:hyperlink r:id="rId9" w:history="1">
        <w:r w:rsidRPr="0000398F">
          <w:rPr>
            <w:rFonts w:ascii="Bahnschrift" w:hAnsi="Bahnschrift"/>
          </w:rPr>
          <w:t>https://doi.org/10.1016/j.procs.2022.12.106</w:t>
        </w:r>
      </w:hyperlink>
    </w:p>
    <w:p w14:paraId="1D0BD8FB" w14:textId="77777777" w:rsidR="008320B8" w:rsidRPr="0000398F" w:rsidRDefault="008320B8" w:rsidP="008320B8">
      <w:pPr>
        <w:suppressLineNumbers/>
        <w:spacing w:after="0" w:line="240" w:lineRule="auto"/>
        <w:ind w:left="720" w:hanging="720"/>
        <w:jc w:val="both"/>
        <w:rPr>
          <w:rFonts w:ascii="Bahnschrift" w:hAnsi="Bahnschrift"/>
        </w:rPr>
      </w:pPr>
    </w:p>
    <w:p w14:paraId="6A8FE8CD" w14:textId="77777777" w:rsidR="008320B8" w:rsidRPr="0000398F" w:rsidRDefault="008320B8" w:rsidP="008320B8">
      <w:pPr>
        <w:suppressLineNumbers/>
        <w:spacing w:after="0" w:line="240" w:lineRule="auto"/>
        <w:ind w:left="720" w:hanging="720"/>
        <w:jc w:val="both"/>
        <w:rPr>
          <w:rFonts w:ascii="Bahnschrift" w:hAnsi="Bahnschrift"/>
        </w:rPr>
      </w:pPr>
      <w:r w:rsidRPr="0000398F">
        <w:rPr>
          <w:rFonts w:ascii="Bahnschrift" w:hAnsi="Bahnschrift"/>
        </w:rPr>
        <w:t xml:space="preserve">Oudah, M., Al-Naji, A., &amp; Chahl, J. (2020). Hand Gesture Recognition Based on Computer Vision: A Review of Techniques. </w:t>
      </w:r>
      <w:r w:rsidRPr="0000398F">
        <w:rPr>
          <w:rFonts w:ascii="Bahnschrift" w:hAnsi="Bahnschrift"/>
          <w:i/>
          <w:iCs/>
        </w:rPr>
        <w:t>Journal of Imaging, 6</w:t>
      </w:r>
      <w:r w:rsidRPr="0000398F">
        <w:rPr>
          <w:rFonts w:ascii="Bahnschrift" w:hAnsi="Bahnschrift"/>
        </w:rPr>
        <w:t>(8), 73. https://doi.org/10.3390/jimaging6080073.</w:t>
      </w:r>
    </w:p>
    <w:p w14:paraId="2DE2F596" w14:textId="77777777" w:rsidR="008320B8" w:rsidRPr="0000398F" w:rsidRDefault="008320B8" w:rsidP="008320B8">
      <w:pPr>
        <w:suppressLineNumbers/>
        <w:spacing w:after="0" w:line="240" w:lineRule="auto"/>
        <w:ind w:left="720" w:hanging="720"/>
        <w:jc w:val="both"/>
        <w:rPr>
          <w:rFonts w:ascii="Bahnschrift" w:hAnsi="Bahnschrift"/>
        </w:rPr>
      </w:pPr>
    </w:p>
    <w:p w14:paraId="76F451A8" w14:textId="77777777" w:rsidR="008320B8" w:rsidRPr="0000398F" w:rsidRDefault="008320B8" w:rsidP="008320B8">
      <w:pPr>
        <w:suppressLineNumbers/>
        <w:spacing w:after="0" w:line="240" w:lineRule="auto"/>
        <w:ind w:left="720" w:hanging="720"/>
        <w:jc w:val="both"/>
        <w:rPr>
          <w:rFonts w:ascii="Bahnschrift" w:hAnsi="Bahnschrift"/>
        </w:rPr>
      </w:pPr>
      <w:r w:rsidRPr="0000398F">
        <w:rPr>
          <w:rFonts w:ascii="Bahnschrift" w:hAnsi="Bahnschrift"/>
        </w:rPr>
        <w:t xml:space="preserve">Office of the Court Administrator. (2025, December 3). </w:t>
      </w:r>
      <w:r w:rsidRPr="0000398F">
        <w:rPr>
          <w:rFonts w:ascii="Bahnschrift" w:hAnsi="Bahnschrift"/>
          <w:i/>
          <w:iCs/>
        </w:rPr>
        <w:t>Rules on Filipino Sign Language Interpreting in the Judiciary</w:t>
      </w:r>
      <w:r w:rsidRPr="0000398F">
        <w:rPr>
          <w:rFonts w:ascii="Bahnschrift" w:hAnsi="Bahnschrift"/>
        </w:rPr>
        <w:t xml:space="preserve"> (OCA Circular No. 338-2025). Supreme Court of the Philippines.</w:t>
      </w:r>
    </w:p>
    <w:p w14:paraId="15ED95E4" w14:textId="77777777" w:rsidR="008320B8" w:rsidRPr="0000398F" w:rsidRDefault="008320B8" w:rsidP="008320B8">
      <w:pPr>
        <w:suppressLineNumbers/>
        <w:spacing w:after="0" w:line="240" w:lineRule="auto"/>
        <w:jc w:val="both"/>
        <w:rPr>
          <w:rFonts w:ascii="Bahnschrift" w:hAnsi="Bahnschrift"/>
        </w:rPr>
      </w:pPr>
    </w:p>
    <w:p w14:paraId="569C090B" w14:textId="77777777" w:rsidR="008320B8" w:rsidRPr="0000398F" w:rsidRDefault="008320B8" w:rsidP="008320B8">
      <w:pPr>
        <w:suppressLineNumbers/>
        <w:spacing w:after="0" w:line="240" w:lineRule="auto"/>
        <w:ind w:left="720" w:hanging="720"/>
        <w:jc w:val="both"/>
        <w:rPr>
          <w:rFonts w:ascii="Bahnschrift" w:hAnsi="Bahnschrift"/>
        </w:rPr>
      </w:pPr>
      <w:r w:rsidRPr="0000398F">
        <w:rPr>
          <w:rFonts w:ascii="Bahnschrift" w:hAnsi="Bahnschrift"/>
        </w:rPr>
        <w:t xml:space="preserve">Ramya, N., Kiran, K. G., Muskan, M. S., Chowdary, C. R., &amp; Krishna, M. D. V. R. (2024). Enhancing communication accessibility: A hand gesture recognition system for deaf and mute individuals. </w:t>
      </w:r>
      <w:r w:rsidRPr="0000398F">
        <w:rPr>
          <w:rFonts w:ascii="Bahnschrift" w:hAnsi="Bahnschrift"/>
          <w:i/>
          <w:iCs/>
        </w:rPr>
        <w:t>Journal of Nonlinear Analysis and Optimization,15</w:t>
      </w:r>
      <w:r w:rsidRPr="0000398F">
        <w:rPr>
          <w:rFonts w:ascii="Bahnschrift" w:hAnsi="Bahnschrift"/>
        </w:rPr>
        <w:t>(1). 202 https://jnaonu.com/Vol.%2015,%20Issue.%2001,%20JanuaryJune%20:%202024/180_online.pdf</w:t>
      </w:r>
    </w:p>
    <w:p w14:paraId="3B13D432" w14:textId="77777777" w:rsidR="008320B8" w:rsidRPr="0000398F" w:rsidRDefault="008320B8" w:rsidP="008320B8">
      <w:pPr>
        <w:suppressLineNumbers/>
        <w:spacing w:after="0" w:line="240" w:lineRule="auto"/>
        <w:ind w:left="720" w:hanging="720"/>
        <w:jc w:val="both"/>
        <w:rPr>
          <w:rFonts w:ascii="Bahnschrift" w:hAnsi="Bahnschrift"/>
        </w:rPr>
      </w:pPr>
    </w:p>
    <w:p w14:paraId="02C05CE8" w14:textId="77777777" w:rsidR="008320B8" w:rsidRPr="0000398F" w:rsidRDefault="008320B8" w:rsidP="008320B8">
      <w:pPr>
        <w:suppressLineNumbers/>
        <w:spacing w:after="0" w:line="240" w:lineRule="auto"/>
        <w:ind w:left="720" w:hanging="720"/>
        <w:jc w:val="both"/>
        <w:rPr>
          <w:rFonts w:ascii="Bahnschrift" w:hAnsi="Bahnschrift"/>
        </w:rPr>
      </w:pPr>
      <w:r w:rsidRPr="0000398F">
        <w:rPr>
          <w:rFonts w:ascii="Bahnschrift" w:hAnsi="Bahnschrift"/>
        </w:rPr>
        <w:t xml:space="preserve">Republic of the Philippines. (1992, March 24). </w:t>
      </w:r>
      <w:r w:rsidRPr="0000398F">
        <w:rPr>
          <w:rFonts w:ascii="Bahnschrift" w:hAnsi="Bahnschrift"/>
          <w:i/>
          <w:iCs/>
        </w:rPr>
        <w:t>An Act Providing for the Rehabilitation, Self-Development and Self-Reliance of Disabled Person and Their Integration into the Mainstream of Society and for Other Purposes</w:t>
      </w:r>
      <w:r w:rsidRPr="0000398F">
        <w:rPr>
          <w:rFonts w:ascii="Bahnschrift" w:hAnsi="Bahnschrift"/>
        </w:rPr>
        <w:t xml:space="preserve"> (Republic Act No. 7277). National Council on Disability Affairs.</w:t>
      </w:r>
    </w:p>
    <w:p w14:paraId="28B8E27C" w14:textId="77777777" w:rsidR="008320B8" w:rsidRPr="0000398F" w:rsidRDefault="008320B8" w:rsidP="008320B8">
      <w:pPr>
        <w:suppressLineNumbers/>
        <w:spacing w:after="0" w:line="240" w:lineRule="auto"/>
        <w:ind w:left="720" w:hanging="720"/>
        <w:jc w:val="both"/>
        <w:rPr>
          <w:rFonts w:ascii="Bahnschrift" w:hAnsi="Bahnschrift"/>
        </w:rPr>
      </w:pPr>
    </w:p>
    <w:p w14:paraId="57D57D59" w14:textId="77777777" w:rsidR="008320B8" w:rsidRPr="0000398F" w:rsidRDefault="008320B8" w:rsidP="008320B8">
      <w:pPr>
        <w:suppressLineNumbers/>
        <w:spacing w:after="0" w:line="240" w:lineRule="auto"/>
        <w:ind w:left="720" w:hanging="720"/>
        <w:jc w:val="both"/>
        <w:rPr>
          <w:rFonts w:ascii="Bahnschrift" w:hAnsi="Bahnschrift"/>
        </w:rPr>
      </w:pPr>
      <w:r w:rsidRPr="0000398F">
        <w:rPr>
          <w:rFonts w:ascii="Bahnschrift" w:hAnsi="Bahnschrift"/>
        </w:rPr>
        <w:t xml:space="preserve">Republic of the Philippines. (2007, April 30). </w:t>
      </w:r>
      <w:r w:rsidRPr="0000398F">
        <w:rPr>
          <w:rFonts w:ascii="Bahnschrift" w:hAnsi="Bahnschrift"/>
          <w:i/>
          <w:iCs/>
        </w:rPr>
        <w:t>An Act Amending Republic Act No. 7277, Otherwise Known as the “Magna Carta for Disabled Persons, And for Other Purposes”</w:t>
      </w:r>
      <w:r w:rsidRPr="0000398F">
        <w:rPr>
          <w:rFonts w:ascii="Bahnschrift" w:hAnsi="Bahnschrift"/>
        </w:rPr>
        <w:t xml:space="preserve"> (Republic Act No. 9442). National Council on Disability Affairs.</w:t>
      </w:r>
    </w:p>
    <w:p w14:paraId="3436A90F" w14:textId="77777777" w:rsidR="008320B8" w:rsidRPr="0000398F" w:rsidRDefault="008320B8" w:rsidP="008320B8">
      <w:pPr>
        <w:suppressLineNumbers/>
        <w:spacing w:after="0" w:line="240" w:lineRule="auto"/>
        <w:ind w:left="720" w:hanging="720"/>
        <w:jc w:val="both"/>
        <w:rPr>
          <w:rFonts w:ascii="Bahnschrift" w:hAnsi="Bahnschrift"/>
        </w:rPr>
      </w:pPr>
    </w:p>
    <w:p w14:paraId="3000633E" w14:textId="77777777" w:rsidR="008320B8" w:rsidRPr="0000398F" w:rsidRDefault="008320B8" w:rsidP="008320B8">
      <w:pPr>
        <w:suppressLineNumbers/>
        <w:spacing w:after="0" w:line="240" w:lineRule="auto"/>
        <w:ind w:left="720" w:hanging="720"/>
        <w:jc w:val="both"/>
        <w:rPr>
          <w:rFonts w:ascii="Bahnschrift" w:hAnsi="Bahnschrift"/>
        </w:rPr>
      </w:pPr>
      <w:r w:rsidRPr="0000398F">
        <w:rPr>
          <w:rFonts w:ascii="Bahnschrift" w:hAnsi="Bahnschrift"/>
        </w:rPr>
        <w:t xml:space="preserve">Republic of the Philippines. (2013, April 23). </w:t>
      </w:r>
      <w:r w:rsidRPr="0000398F">
        <w:rPr>
          <w:rFonts w:ascii="Bahnschrift" w:hAnsi="Bahnschrift"/>
          <w:i/>
          <w:iCs/>
        </w:rPr>
        <w:t>An Act Expanding the Positions Reserved for Persons with Disability, amending for the Purpose Republic Act No. 7277, As Amended, Otherwise Known as the Magna Carta for Persons with Disability</w:t>
      </w:r>
      <w:r w:rsidRPr="0000398F">
        <w:rPr>
          <w:rFonts w:ascii="Bahnschrift" w:hAnsi="Bahnschrift"/>
        </w:rPr>
        <w:t xml:space="preserve"> (Republic Act No. 10524). Lawphil/Jur.ph.</w:t>
      </w:r>
    </w:p>
    <w:p w14:paraId="19EBFD3E" w14:textId="77777777" w:rsidR="008320B8" w:rsidRPr="0000398F" w:rsidRDefault="008320B8" w:rsidP="008320B8">
      <w:pPr>
        <w:suppressLineNumbers/>
        <w:spacing w:after="0" w:line="240" w:lineRule="auto"/>
        <w:ind w:left="720" w:hanging="720"/>
        <w:jc w:val="both"/>
        <w:rPr>
          <w:rFonts w:ascii="Bahnschrift" w:hAnsi="Bahnschrift"/>
        </w:rPr>
      </w:pPr>
    </w:p>
    <w:p w14:paraId="0D5F0473" w14:textId="77777777" w:rsidR="008320B8" w:rsidRPr="0000398F" w:rsidRDefault="008320B8" w:rsidP="008320B8">
      <w:pPr>
        <w:suppressLineNumbers/>
        <w:spacing w:after="0" w:line="240" w:lineRule="auto"/>
        <w:ind w:left="720" w:hanging="720"/>
        <w:jc w:val="both"/>
        <w:rPr>
          <w:rFonts w:ascii="Bahnschrift" w:hAnsi="Bahnschrift"/>
        </w:rPr>
      </w:pPr>
      <w:r w:rsidRPr="0000398F">
        <w:rPr>
          <w:rFonts w:ascii="Bahnschrift" w:hAnsi="Bahnschrift"/>
        </w:rPr>
        <w:t xml:space="preserve">Republic of the Philippines. (2016, March 23). </w:t>
      </w:r>
      <w:r w:rsidRPr="0000398F">
        <w:rPr>
          <w:rFonts w:ascii="Bahnschrift" w:hAnsi="Bahnschrift"/>
          <w:i/>
          <w:iCs/>
        </w:rPr>
        <w:t xml:space="preserve">An Act Expanding the Benefits and Privileges of Persons with Disability (PWD) </w:t>
      </w:r>
      <w:r w:rsidRPr="0000398F">
        <w:rPr>
          <w:rFonts w:ascii="Bahnschrift" w:hAnsi="Bahnschrift"/>
        </w:rPr>
        <w:t>(Republic Act No. 10754). National Council on Disability Affairs.</w:t>
      </w:r>
    </w:p>
    <w:p w14:paraId="113A69DA" w14:textId="77777777" w:rsidR="008320B8" w:rsidRPr="0000398F" w:rsidRDefault="008320B8" w:rsidP="008320B8">
      <w:pPr>
        <w:suppressLineNumbers/>
        <w:spacing w:after="0" w:line="240" w:lineRule="auto"/>
        <w:ind w:left="720" w:hanging="720"/>
        <w:jc w:val="both"/>
        <w:rPr>
          <w:rFonts w:ascii="Bahnschrift" w:hAnsi="Bahnschrift"/>
        </w:rPr>
      </w:pPr>
    </w:p>
    <w:p w14:paraId="08FB7AE8" w14:textId="77777777" w:rsidR="008320B8" w:rsidRPr="0000398F" w:rsidRDefault="008320B8" w:rsidP="008320B8">
      <w:pPr>
        <w:suppressLineNumbers/>
        <w:spacing w:after="0" w:line="240" w:lineRule="auto"/>
        <w:ind w:left="720" w:hanging="720"/>
        <w:jc w:val="both"/>
        <w:rPr>
          <w:rFonts w:ascii="Bahnschrift" w:hAnsi="Bahnschrift"/>
        </w:rPr>
      </w:pPr>
      <w:r w:rsidRPr="0000398F">
        <w:rPr>
          <w:rFonts w:ascii="Bahnschrift" w:hAnsi="Bahnschrift"/>
        </w:rPr>
        <w:t xml:space="preserve">Republic of the Philippines. (2018, October 30). </w:t>
      </w:r>
      <w:r w:rsidRPr="0000398F">
        <w:rPr>
          <w:rFonts w:ascii="Bahnschrift" w:hAnsi="Bahnschrift"/>
          <w:i/>
          <w:iCs/>
        </w:rPr>
        <w:t>An Act Declaring the Filipino Sign Language as the National Sign Language of the Filipino Deaf and the Official Sign Language of Government in All Transactions Involving the Deaf, and Mandating Its Use in Schools, Broadcast Media, and Workplaces</w:t>
      </w:r>
      <w:r w:rsidRPr="0000398F">
        <w:rPr>
          <w:rFonts w:ascii="Bahnschrift" w:hAnsi="Bahnschrift"/>
        </w:rPr>
        <w:t xml:space="preserve"> (Republic Act No. 11106). Official Gazette.</w:t>
      </w:r>
    </w:p>
    <w:p w14:paraId="32A6DE4A" w14:textId="77777777" w:rsidR="008320B8" w:rsidRPr="0000398F" w:rsidRDefault="008320B8" w:rsidP="008320B8">
      <w:pPr>
        <w:suppressLineNumbers/>
        <w:spacing w:after="0" w:line="240" w:lineRule="auto"/>
        <w:ind w:left="720" w:hanging="720"/>
        <w:jc w:val="both"/>
        <w:rPr>
          <w:rFonts w:ascii="Bahnschrift" w:hAnsi="Bahnschrift"/>
        </w:rPr>
      </w:pPr>
    </w:p>
    <w:p w14:paraId="46AA85B7" w14:textId="77777777" w:rsidR="008320B8" w:rsidRPr="0000398F" w:rsidRDefault="008320B8" w:rsidP="008320B8">
      <w:pPr>
        <w:suppressLineNumbers/>
        <w:spacing w:after="0" w:line="240" w:lineRule="auto"/>
        <w:ind w:left="720" w:hanging="720"/>
        <w:jc w:val="both"/>
        <w:rPr>
          <w:rFonts w:ascii="Bahnschrift" w:hAnsi="Bahnschrift"/>
        </w:rPr>
      </w:pPr>
      <w:r w:rsidRPr="0000398F">
        <w:rPr>
          <w:rFonts w:ascii="Bahnschrift" w:hAnsi="Bahnschrift"/>
        </w:rPr>
        <w:t xml:space="preserve">Xia, K., Lu, W., Fan, H., &amp; Zhao, Q. (2022). A sign language recognition system applied to Deaf- Mute medical consultation. </w:t>
      </w:r>
      <w:r w:rsidRPr="0000398F">
        <w:rPr>
          <w:rFonts w:ascii="Bahnschrift" w:hAnsi="Bahnschrift"/>
          <w:i/>
          <w:iCs/>
        </w:rPr>
        <w:t>Sensors, 22</w:t>
      </w:r>
      <w:r w:rsidRPr="0000398F">
        <w:rPr>
          <w:rFonts w:ascii="Bahnschrift" w:hAnsi="Bahnschrift"/>
        </w:rPr>
        <w:t>(23), 9107. https://doi.org/10.3390/s22239107</w:t>
      </w:r>
    </w:p>
    <w:p w14:paraId="7F55EAF9" w14:textId="48D43A5C" w:rsidR="00671F20" w:rsidRPr="00A21F23" w:rsidRDefault="00671F20" w:rsidP="00A21F23"/>
    <w:sectPr w:rsidR="00671F20" w:rsidRPr="00A21F23" w:rsidSect="00AE2C6C">
      <w:headerReference w:type="default" r:id="rId10"/>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C1A01F" w14:textId="77777777" w:rsidR="007A0C2E" w:rsidRDefault="007A0C2E" w:rsidP="00290EE2">
      <w:pPr>
        <w:spacing w:after="0" w:line="240" w:lineRule="auto"/>
      </w:pPr>
      <w:r>
        <w:separator/>
      </w:r>
    </w:p>
  </w:endnote>
  <w:endnote w:type="continuationSeparator" w:id="0">
    <w:p w14:paraId="4C08612C" w14:textId="77777777" w:rsidR="007A0C2E" w:rsidRDefault="007A0C2E" w:rsidP="00290E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Bahnschrift">
    <w:panose1 w:val="020B0502040204020203"/>
    <w:charset w:val="00"/>
    <w:family w:val="swiss"/>
    <w:pitch w:val="variable"/>
    <w:sig w:usb0="A00002C7" w:usb1="00000002"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387F9E" w14:textId="77777777" w:rsidR="007A0C2E" w:rsidRDefault="007A0C2E" w:rsidP="00290EE2">
      <w:pPr>
        <w:spacing w:after="0" w:line="240" w:lineRule="auto"/>
      </w:pPr>
      <w:r>
        <w:separator/>
      </w:r>
    </w:p>
  </w:footnote>
  <w:footnote w:type="continuationSeparator" w:id="0">
    <w:p w14:paraId="2F07F1E2" w14:textId="77777777" w:rsidR="007A0C2E" w:rsidRDefault="007A0C2E" w:rsidP="00290E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E8AE66" w14:textId="77777777" w:rsidR="00290EE2" w:rsidRDefault="00290EE2">
    <w:pPr>
      <w:pStyle w:val="Header"/>
      <w:rPr>
        <w:rFonts w:ascii="Times New Roman" w:eastAsia="Times New Roman" w:hAnsi="Times New Roman" w:cs="Times New Roman"/>
        <w:b/>
        <w:bCs/>
        <w:kern w:val="0"/>
        <w:sz w:val="28"/>
        <w:szCs w:val="28"/>
        <w:lang w:eastAsia="en-PH"/>
        <w14:ligatures w14:val="none"/>
      </w:rPr>
    </w:pPr>
  </w:p>
  <w:p w14:paraId="3F6EC176" w14:textId="3C082D2D" w:rsidR="00E02438" w:rsidRPr="00E02438" w:rsidRDefault="00E02438" w:rsidP="00E02438">
    <w:pPr>
      <w:pStyle w:val="Header"/>
    </w:pPr>
    <w:r w:rsidRPr="00E02438">
      <w:rPr>
        <w:noProof/>
      </w:rPr>
      <w:drawing>
        <wp:inline distT="0" distB="0" distL="0" distR="0" wp14:anchorId="502891D0" wp14:editId="449A61E3">
          <wp:extent cx="939165" cy="412750"/>
          <wp:effectExtent l="0" t="0" r="0" b="6350"/>
          <wp:docPr id="13287935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955" cy="423205"/>
                  </a:xfrm>
                  <a:prstGeom prst="rect">
                    <a:avLst/>
                  </a:prstGeom>
                  <a:noFill/>
                  <a:ln>
                    <a:noFill/>
                  </a:ln>
                </pic:spPr>
              </pic:pic>
            </a:graphicData>
          </a:graphic>
        </wp:inline>
      </w:drawing>
    </w:r>
  </w:p>
  <w:p w14:paraId="3CA54B6F" w14:textId="0B0C146D" w:rsidR="00290EE2" w:rsidRDefault="00FE2FD1">
    <w:pPr>
      <w:pStyle w:val="Header"/>
    </w:pPr>
    <w:r>
      <w:t>__________________________________________________________________________________</w:t>
    </w:r>
  </w:p>
  <w:p w14:paraId="460F50A3" w14:textId="77777777" w:rsidR="00FE2FD1" w:rsidRDefault="00FE2F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806C3"/>
    <w:multiLevelType w:val="multilevel"/>
    <w:tmpl w:val="2736A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030380"/>
    <w:multiLevelType w:val="multilevel"/>
    <w:tmpl w:val="00B69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8853E9"/>
    <w:multiLevelType w:val="multilevel"/>
    <w:tmpl w:val="BBD8F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655C21"/>
    <w:multiLevelType w:val="multilevel"/>
    <w:tmpl w:val="54D4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AC47EF"/>
    <w:multiLevelType w:val="multilevel"/>
    <w:tmpl w:val="A5AEA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4E0611"/>
    <w:multiLevelType w:val="multilevel"/>
    <w:tmpl w:val="F5F6A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D24229"/>
    <w:multiLevelType w:val="multilevel"/>
    <w:tmpl w:val="9D2C2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F9302C"/>
    <w:multiLevelType w:val="multilevel"/>
    <w:tmpl w:val="6464A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963175"/>
    <w:multiLevelType w:val="multilevel"/>
    <w:tmpl w:val="0EAC1E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D94123"/>
    <w:multiLevelType w:val="multilevel"/>
    <w:tmpl w:val="2A8A4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AB3239"/>
    <w:multiLevelType w:val="multilevel"/>
    <w:tmpl w:val="C6BCB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5362EA"/>
    <w:multiLevelType w:val="multilevel"/>
    <w:tmpl w:val="0CD6C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F16537"/>
    <w:multiLevelType w:val="multilevel"/>
    <w:tmpl w:val="86805A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1F6CB5"/>
    <w:multiLevelType w:val="multilevel"/>
    <w:tmpl w:val="E4263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88620DD"/>
    <w:multiLevelType w:val="multilevel"/>
    <w:tmpl w:val="CBE22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8886D4A"/>
    <w:multiLevelType w:val="multilevel"/>
    <w:tmpl w:val="0FF8E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A5510B3"/>
    <w:multiLevelType w:val="multilevel"/>
    <w:tmpl w:val="B6E05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B573716"/>
    <w:multiLevelType w:val="multilevel"/>
    <w:tmpl w:val="24F4E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04378F"/>
    <w:multiLevelType w:val="multilevel"/>
    <w:tmpl w:val="5FB88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0714CE"/>
    <w:multiLevelType w:val="multilevel"/>
    <w:tmpl w:val="A330F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13690B"/>
    <w:multiLevelType w:val="multilevel"/>
    <w:tmpl w:val="4ECA2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2077C6"/>
    <w:multiLevelType w:val="multilevel"/>
    <w:tmpl w:val="5F769D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43D2433"/>
    <w:multiLevelType w:val="multilevel"/>
    <w:tmpl w:val="E75E9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6D81CD1"/>
    <w:multiLevelType w:val="multilevel"/>
    <w:tmpl w:val="74F2F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9657919"/>
    <w:multiLevelType w:val="multilevel"/>
    <w:tmpl w:val="27C8A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BEA1AD1"/>
    <w:multiLevelType w:val="multilevel"/>
    <w:tmpl w:val="D3BED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2E198B"/>
    <w:multiLevelType w:val="multilevel"/>
    <w:tmpl w:val="415AA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F4F4311"/>
    <w:multiLevelType w:val="multilevel"/>
    <w:tmpl w:val="518CC4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FF111DD"/>
    <w:multiLevelType w:val="multilevel"/>
    <w:tmpl w:val="04988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7EA7C95"/>
    <w:multiLevelType w:val="multilevel"/>
    <w:tmpl w:val="6D585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8B1569C"/>
    <w:multiLevelType w:val="multilevel"/>
    <w:tmpl w:val="D2F802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EE663E0"/>
    <w:multiLevelType w:val="multilevel"/>
    <w:tmpl w:val="C70A6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7C67724"/>
    <w:multiLevelType w:val="multilevel"/>
    <w:tmpl w:val="05004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90951E5"/>
    <w:multiLevelType w:val="multilevel"/>
    <w:tmpl w:val="E3CE15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9BD44FC"/>
    <w:multiLevelType w:val="multilevel"/>
    <w:tmpl w:val="8696B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D5A56FD"/>
    <w:multiLevelType w:val="multilevel"/>
    <w:tmpl w:val="F822D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F79323F"/>
    <w:multiLevelType w:val="multilevel"/>
    <w:tmpl w:val="A6A6C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634558"/>
    <w:multiLevelType w:val="multilevel"/>
    <w:tmpl w:val="EB303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69A3E7D"/>
    <w:multiLevelType w:val="multilevel"/>
    <w:tmpl w:val="164CD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C010D60"/>
    <w:multiLevelType w:val="multilevel"/>
    <w:tmpl w:val="8BB4F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CE8345C"/>
    <w:multiLevelType w:val="multilevel"/>
    <w:tmpl w:val="C2025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06364749">
    <w:abstractNumId w:val="13"/>
  </w:num>
  <w:num w:numId="2" w16cid:durableId="1840268275">
    <w:abstractNumId w:val="11"/>
  </w:num>
  <w:num w:numId="3" w16cid:durableId="2000771353">
    <w:abstractNumId w:val="39"/>
  </w:num>
  <w:num w:numId="4" w16cid:durableId="2116243982">
    <w:abstractNumId w:val="35"/>
  </w:num>
  <w:num w:numId="5" w16cid:durableId="1848906244">
    <w:abstractNumId w:val="15"/>
  </w:num>
  <w:num w:numId="6" w16cid:durableId="1097823186">
    <w:abstractNumId w:val="32"/>
  </w:num>
  <w:num w:numId="7" w16cid:durableId="692804235">
    <w:abstractNumId w:val="2"/>
  </w:num>
  <w:num w:numId="8" w16cid:durableId="1726566390">
    <w:abstractNumId w:val="9"/>
  </w:num>
  <w:num w:numId="9" w16cid:durableId="1678072523">
    <w:abstractNumId w:val="25"/>
  </w:num>
  <w:num w:numId="10" w16cid:durableId="657853467">
    <w:abstractNumId w:val="29"/>
  </w:num>
  <w:num w:numId="11" w16cid:durableId="1146699707">
    <w:abstractNumId w:val="3"/>
  </w:num>
  <w:num w:numId="12" w16cid:durableId="1427195387">
    <w:abstractNumId w:val="7"/>
  </w:num>
  <w:num w:numId="13" w16cid:durableId="359866326">
    <w:abstractNumId w:val="31"/>
  </w:num>
  <w:num w:numId="14" w16cid:durableId="1610159056">
    <w:abstractNumId w:val="28"/>
  </w:num>
  <w:num w:numId="15" w16cid:durableId="1035691151">
    <w:abstractNumId w:val="21"/>
  </w:num>
  <w:num w:numId="16" w16cid:durableId="1345325102">
    <w:abstractNumId w:val="6"/>
  </w:num>
  <w:num w:numId="17" w16cid:durableId="1939287957">
    <w:abstractNumId w:val="40"/>
  </w:num>
  <w:num w:numId="18" w16cid:durableId="1050766509">
    <w:abstractNumId w:val="5"/>
  </w:num>
  <w:num w:numId="19" w16cid:durableId="2067869038">
    <w:abstractNumId w:val="38"/>
  </w:num>
  <w:num w:numId="20" w16cid:durableId="926382073">
    <w:abstractNumId w:val="33"/>
  </w:num>
  <w:num w:numId="21" w16cid:durableId="175774230">
    <w:abstractNumId w:val="30"/>
  </w:num>
  <w:num w:numId="22" w16cid:durableId="1980959878">
    <w:abstractNumId w:val="0"/>
  </w:num>
  <w:num w:numId="23" w16cid:durableId="853687006">
    <w:abstractNumId w:val="10"/>
  </w:num>
  <w:num w:numId="24" w16cid:durableId="767386865">
    <w:abstractNumId w:val="4"/>
  </w:num>
  <w:num w:numId="25" w16cid:durableId="1604609217">
    <w:abstractNumId w:val="26"/>
  </w:num>
  <w:num w:numId="26" w16cid:durableId="1921407878">
    <w:abstractNumId w:val="17"/>
  </w:num>
  <w:num w:numId="27" w16cid:durableId="1137604831">
    <w:abstractNumId w:val="37"/>
  </w:num>
  <w:num w:numId="28" w16cid:durableId="1843815622">
    <w:abstractNumId w:val="20"/>
  </w:num>
  <w:num w:numId="29" w16cid:durableId="1984578508">
    <w:abstractNumId w:val="18"/>
  </w:num>
  <w:num w:numId="30" w16cid:durableId="1087849804">
    <w:abstractNumId w:val="16"/>
  </w:num>
  <w:num w:numId="31" w16cid:durableId="1535196864">
    <w:abstractNumId w:val="19"/>
  </w:num>
  <w:num w:numId="32" w16cid:durableId="1006328205">
    <w:abstractNumId w:val="36"/>
  </w:num>
  <w:num w:numId="33" w16cid:durableId="2076972064">
    <w:abstractNumId w:val="24"/>
  </w:num>
  <w:num w:numId="34" w16cid:durableId="1405879234">
    <w:abstractNumId w:val="14"/>
  </w:num>
  <w:num w:numId="35" w16cid:durableId="1221095569">
    <w:abstractNumId w:val="34"/>
  </w:num>
  <w:num w:numId="36" w16cid:durableId="759450845">
    <w:abstractNumId w:val="23"/>
  </w:num>
  <w:num w:numId="37" w16cid:durableId="869100768">
    <w:abstractNumId w:val="1"/>
  </w:num>
  <w:num w:numId="38" w16cid:durableId="505630791">
    <w:abstractNumId w:val="12"/>
  </w:num>
  <w:num w:numId="39" w16cid:durableId="1763648156">
    <w:abstractNumId w:val="8"/>
  </w:num>
  <w:num w:numId="40" w16cid:durableId="544607842">
    <w:abstractNumId w:val="22"/>
  </w:num>
  <w:num w:numId="41" w16cid:durableId="157033967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C6C"/>
    <w:rsid w:val="000115DB"/>
    <w:rsid w:val="00012787"/>
    <w:rsid w:val="000845F5"/>
    <w:rsid w:val="000854B9"/>
    <w:rsid w:val="00085B6A"/>
    <w:rsid w:val="00087C27"/>
    <w:rsid w:val="000905B2"/>
    <w:rsid w:val="000C2E76"/>
    <w:rsid w:val="000D0E69"/>
    <w:rsid w:val="000F5057"/>
    <w:rsid w:val="001957A8"/>
    <w:rsid w:val="001F1FD0"/>
    <w:rsid w:val="001F54EA"/>
    <w:rsid w:val="001F5BD9"/>
    <w:rsid w:val="00211740"/>
    <w:rsid w:val="00222ABA"/>
    <w:rsid w:val="00233803"/>
    <w:rsid w:val="00246867"/>
    <w:rsid w:val="00290EE2"/>
    <w:rsid w:val="00297A83"/>
    <w:rsid w:val="002D0592"/>
    <w:rsid w:val="002D3698"/>
    <w:rsid w:val="00330D2C"/>
    <w:rsid w:val="00370561"/>
    <w:rsid w:val="00372956"/>
    <w:rsid w:val="003970FD"/>
    <w:rsid w:val="003C0253"/>
    <w:rsid w:val="003C1C37"/>
    <w:rsid w:val="0044264E"/>
    <w:rsid w:val="00451A1D"/>
    <w:rsid w:val="004662CE"/>
    <w:rsid w:val="00485B27"/>
    <w:rsid w:val="00487414"/>
    <w:rsid w:val="004B00A8"/>
    <w:rsid w:val="00513D4A"/>
    <w:rsid w:val="005611F8"/>
    <w:rsid w:val="00567107"/>
    <w:rsid w:val="005B5DD9"/>
    <w:rsid w:val="005C1604"/>
    <w:rsid w:val="005D4E9F"/>
    <w:rsid w:val="005E50C0"/>
    <w:rsid w:val="00603552"/>
    <w:rsid w:val="00607AB1"/>
    <w:rsid w:val="00623E52"/>
    <w:rsid w:val="00623E9B"/>
    <w:rsid w:val="00640E62"/>
    <w:rsid w:val="0064183D"/>
    <w:rsid w:val="00645E4B"/>
    <w:rsid w:val="00657F10"/>
    <w:rsid w:val="00671F20"/>
    <w:rsid w:val="0068556F"/>
    <w:rsid w:val="00691497"/>
    <w:rsid w:val="006B59D7"/>
    <w:rsid w:val="006F7E14"/>
    <w:rsid w:val="00755F49"/>
    <w:rsid w:val="0076121C"/>
    <w:rsid w:val="007A0C2E"/>
    <w:rsid w:val="007A4C79"/>
    <w:rsid w:val="007E1A12"/>
    <w:rsid w:val="00805D1B"/>
    <w:rsid w:val="00814436"/>
    <w:rsid w:val="008320B8"/>
    <w:rsid w:val="00836DAB"/>
    <w:rsid w:val="00847EF6"/>
    <w:rsid w:val="00866E71"/>
    <w:rsid w:val="008753FF"/>
    <w:rsid w:val="008A200E"/>
    <w:rsid w:val="008B0FD5"/>
    <w:rsid w:val="008E0D92"/>
    <w:rsid w:val="008E42EE"/>
    <w:rsid w:val="008F2867"/>
    <w:rsid w:val="00904FD2"/>
    <w:rsid w:val="009251D0"/>
    <w:rsid w:val="009500D8"/>
    <w:rsid w:val="009518D7"/>
    <w:rsid w:val="0095714A"/>
    <w:rsid w:val="00991E5A"/>
    <w:rsid w:val="009C0634"/>
    <w:rsid w:val="00A21F23"/>
    <w:rsid w:val="00A44CF0"/>
    <w:rsid w:val="00A50563"/>
    <w:rsid w:val="00A819D9"/>
    <w:rsid w:val="00A949FE"/>
    <w:rsid w:val="00A94BB2"/>
    <w:rsid w:val="00AB2C26"/>
    <w:rsid w:val="00AE2C6C"/>
    <w:rsid w:val="00AE71DE"/>
    <w:rsid w:val="00AE75F0"/>
    <w:rsid w:val="00B3100F"/>
    <w:rsid w:val="00B52DD2"/>
    <w:rsid w:val="00BC682E"/>
    <w:rsid w:val="00C17E96"/>
    <w:rsid w:val="00C27D2D"/>
    <w:rsid w:val="00C31B93"/>
    <w:rsid w:val="00C4676A"/>
    <w:rsid w:val="00C80E04"/>
    <w:rsid w:val="00C833B7"/>
    <w:rsid w:val="00D33289"/>
    <w:rsid w:val="00D50816"/>
    <w:rsid w:val="00D56D5A"/>
    <w:rsid w:val="00D64BB9"/>
    <w:rsid w:val="00D70538"/>
    <w:rsid w:val="00D801F1"/>
    <w:rsid w:val="00D80679"/>
    <w:rsid w:val="00D86FE1"/>
    <w:rsid w:val="00DC7E96"/>
    <w:rsid w:val="00DD52A7"/>
    <w:rsid w:val="00E00198"/>
    <w:rsid w:val="00E02438"/>
    <w:rsid w:val="00E1410E"/>
    <w:rsid w:val="00E441AA"/>
    <w:rsid w:val="00E5333A"/>
    <w:rsid w:val="00E5452F"/>
    <w:rsid w:val="00E84A47"/>
    <w:rsid w:val="00E862AC"/>
    <w:rsid w:val="00EA227F"/>
    <w:rsid w:val="00EB128D"/>
    <w:rsid w:val="00EC441F"/>
    <w:rsid w:val="00EC4E5D"/>
    <w:rsid w:val="00EF0898"/>
    <w:rsid w:val="00F335F1"/>
    <w:rsid w:val="00F34DCD"/>
    <w:rsid w:val="00F84A20"/>
    <w:rsid w:val="00FC4AA6"/>
    <w:rsid w:val="00FC6E98"/>
    <w:rsid w:val="00FE2FD1"/>
    <w:rsid w:val="00FE4A12"/>
    <w:rsid w:val="00FE5961"/>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18648"/>
  <w15:chartTrackingRefBased/>
  <w15:docId w15:val="{CB524ECB-B2ED-469E-8D91-709584522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P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0B8"/>
    <w:pPr>
      <w:spacing w:line="256" w:lineRule="auto"/>
    </w:pPr>
  </w:style>
  <w:style w:type="paragraph" w:styleId="Heading1">
    <w:name w:val="heading 1"/>
    <w:basedOn w:val="Normal"/>
    <w:next w:val="Normal"/>
    <w:link w:val="Heading1Char"/>
    <w:uiPriority w:val="9"/>
    <w:qFormat/>
    <w:rsid w:val="00AE2C6C"/>
    <w:pPr>
      <w:keepNext/>
      <w:keepLines/>
      <w:spacing w:before="360" w:after="80" w:line="259" w:lineRule="auto"/>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2C6C"/>
    <w:pPr>
      <w:keepNext/>
      <w:keepLines/>
      <w:spacing w:before="160" w:after="80" w:line="259"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2C6C"/>
    <w:pPr>
      <w:keepNext/>
      <w:keepLines/>
      <w:spacing w:before="160" w:after="80" w:line="259" w:lineRule="auto"/>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2C6C"/>
    <w:pPr>
      <w:keepNext/>
      <w:keepLines/>
      <w:spacing w:before="80" w:after="40" w:line="259" w:lineRule="auto"/>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2C6C"/>
    <w:pPr>
      <w:keepNext/>
      <w:keepLines/>
      <w:spacing w:before="80" w:after="40" w:line="259" w:lineRule="auto"/>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2C6C"/>
    <w:pPr>
      <w:keepNext/>
      <w:keepLines/>
      <w:spacing w:before="40" w:after="0" w:line="259"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2C6C"/>
    <w:pPr>
      <w:keepNext/>
      <w:keepLines/>
      <w:spacing w:before="40" w:after="0" w:line="259"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2C6C"/>
    <w:pPr>
      <w:keepNext/>
      <w:keepLines/>
      <w:spacing w:after="0" w:line="259"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2C6C"/>
    <w:pPr>
      <w:keepNext/>
      <w:keepLines/>
      <w:spacing w:after="0" w:line="259"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2C6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2C6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2C6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2C6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2C6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2C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2C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2C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2C6C"/>
    <w:rPr>
      <w:rFonts w:eastAsiaTheme="majorEastAsia" w:cstheme="majorBidi"/>
      <w:color w:val="272727" w:themeColor="text1" w:themeTint="D8"/>
    </w:rPr>
  </w:style>
  <w:style w:type="paragraph" w:styleId="Title">
    <w:name w:val="Title"/>
    <w:basedOn w:val="Normal"/>
    <w:next w:val="Normal"/>
    <w:link w:val="TitleChar"/>
    <w:uiPriority w:val="10"/>
    <w:qFormat/>
    <w:rsid w:val="00AE2C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2C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2C6C"/>
    <w:pPr>
      <w:numPr>
        <w:ilvl w:val="1"/>
      </w:numPr>
      <w:spacing w:line="259"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2C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2C6C"/>
    <w:pPr>
      <w:spacing w:before="160" w:line="259" w:lineRule="auto"/>
      <w:jc w:val="center"/>
    </w:pPr>
    <w:rPr>
      <w:i/>
      <w:iCs/>
      <w:color w:val="404040" w:themeColor="text1" w:themeTint="BF"/>
    </w:rPr>
  </w:style>
  <w:style w:type="character" w:customStyle="1" w:styleId="QuoteChar">
    <w:name w:val="Quote Char"/>
    <w:basedOn w:val="DefaultParagraphFont"/>
    <w:link w:val="Quote"/>
    <w:uiPriority w:val="29"/>
    <w:rsid w:val="00AE2C6C"/>
    <w:rPr>
      <w:i/>
      <w:iCs/>
      <w:color w:val="404040" w:themeColor="text1" w:themeTint="BF"/>
    </w:rPr>
  </w:style>
  <w:style w:type="paragraph" w:styleId="ListParagraph">
    <w:name w:val="List Paragraph"/>
    <w:basedOn w:val="Normal"/>
    <w:uiPriority w:val="34"/>
    <w:qFormat/>
    <w:rsid w:val="00AE2C6C"/>
    <w:pPr>
      <w:spacing w:line="259" w:lineRule="auto"/>
      <w:ind w:left="720"/>
      <w:contextualSpacing/>
    </w:pPr>
  </w:style>
  <w:style w:type="character" w:styleId="IntenseEmphasis">
    <w:name w:val="Intense Emphasis"/>
    <w:basedOn w:val="DefaultParagraphFont"/>
    <w:uiPriority w:val="21"/>
    <w:qFormat/>
    <w:rsid w:val="00AE2C6C"/>
    <w:rPr>
      <w:i/>
      <w:iCs/>
      <w:color w:val="2F5496" w:themeColor="accent1" w:themeShade="BF"/>
    </w:rPr>
  </w:style>
  <w:style w:type="paragraph" w:styleId="IntenseQuote">
    <w:name w:val="Intense Quote"/>
    <w:basedOn w:val="Normal"/>
    <w:next w:val="Normal"/>
    <w:link w:val="IntenseQuoteChar"/>
    <w:uiPriority w:val="30"/>
    <w:qFormat/>
    <w:rsid w:val="00AE2C6C"/>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2C6C"/>
    <w:rPr>
      <w:i/>
      <w:iCs/>
      <w:color w:val="2F5496" w:themeColor="accent1" w:themeShade="BF"/>
    </w:rPr>
  </w:style>
  <w:style w:type="character" w:styleId="IntenseReference">
    <w:name w:val="Intense Reference"/>
    <w:basedOn w:val="DefaultParagraphFont"/>
    <w:uiPriority w:val="32"/>
    <w:qFormat/>
    <w:rsid w:val="00AE2C6C"/>
    <w:rPr>
      <w:b/>
      <w:bCs/>
      <w:smallCaps/>
      <w:color w:val="2F5496" w:themeColor="accent1" w:themeShade="BF"/>
      <w:spacing w:val="5"/>
    </w:rPr>
  </w:style>
  <w:style w:type="paragraph" w:styleId="Header">
    <w:name w:val="header"/>
    <w:basedOn w:val="Normal"/>
    <w:link w:val="HeaderChar"/>
    <w:uiPriority w:val="99"/>
    <w:unhideWhenUsed/>
    <w:rsid w:val="00290E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0EE2"/>
  </w:style>
  <w:style w:type="paragraph" w:styleId="Footer">
    <w:name w:val="footer"/>
    <w:basedOn w:val="Normal"/>
    <w:link w:val="FooterChar"/>
    <w:uiPriority w:val="99"/>
    <w:unhideWhenUsed/>
    <w:rsid w:val="00290E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0EE2"/>
  </w:style>
  <w:style w:type="table" w:styleId="TableGrid">
    <w:name w:val="Table Grid"/>
    <w:basedOn w:val="TableNormal"/>
    <w:uiPriority w:val="39"/>
    <w:rsid w:val="000905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F54EA"/>
    <w:pPr>
      <w:spacing w:before="100" w:beforeAutospacing="1" w:after="100" w:afterAutospacing="1" w:line="240" w:lineRule="auto"/>
    </w:pPr>
    <w:rPr>
      <w:rFonts w:ascii="Times New Roman" w:eastAsia="Times New Roman" w:hAnsi="Times New Roman" w:cs="Times New Roman"/>
      <w:kern w:val="0"/>
      <w:sz w:val="24"/>
      <w:szCs w:val="24"/>
      <w:lang w:eastAsia="en-PH"/>
      <w14:ligatures w14:val="none"/>
    </w:rPr>
  </w:style>
  <w:style w:type="character" w:styleId="Strong">
    <w:name w:val="Strong"/>
    <w:basedOn w:val="DefaultParagraphFont"/>
    <w:uiPriority w:val="22"/>
    <w:qFormat/>
    <w:rsid w:val="001F54EA"/>
    <w:rPr>
      <w:b/>
      <w:bCs/>
    </w:rPr>
  </w:style>
  <w:style w:type="character" w:styleId="Hyperlink">
    <w:name w:val="Hyperlink"/>
    <w:basedOn w:val="DefaultParagraphFont"/>
    <w:uiPriority w:val="99"/>
    <w:unhideWhenUsed/>
    <w:rsid w:val="00233803"/>
    <w:rPr>
      <w:color w:val="0563C1" w:themeColor="hyperlink"/>
      <w:u w:val="single"/>
    </w:rPr>
  </w:style>
  <w:style w:type="character" w:styleId="UnresolvedMention">
    <w:name w:val="Unresolved Mention"/>
    <w:basedOn w:val="DefaultParagraphFont"/>
    <w:uiPriority w:val="99"/>
    <w:semiHidden/>
    <w:unhideWhenUsed/>
    <w:rsid w:val="00233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procs.2020.03.243" TargetMode="External"/><Relationship Id="rId3" Type="http://schemas.openxmlformats.org/officeDocument/2006/relationships/settings" Target="settings.xml"/><Relationship Id="rId7" Type="http://schemas.openxmlformats.org/officeDocument/2006/relationships/hyperlink" Target="https://doi.org/10.21275/SR2050303180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doi.org/10.1016/j.procs.2022.12.106"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223</TotalTime>
  <Pages>2</Pages>
  <Words>620</Words>
  <Characters>3804</Characters>
  <Application>Microsoft Office Word</Application>
  <DocSecurity>0</DocSecurity>
  <Lines>122</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victorcajala@outlook.com</dc:creator>
  <cp:keywords/>
  <dc:description/>
  <cp:lastModifiedBy>Victor Cajala</cp:lastModifiedBy>
  <cp:revision>45</cp:revision>
  <cp:lastPrinted>2026-02-21T05:03:00Z</cp:lastPrinted>
  <dcterms:created xsi:type="dcterms:W3CDTF">2025-12-03T11:08:00Z</dcterms:created>
  <dcterms:modified xsi:type="dcterms:W3CDTF">2026-07-03T04:10:00Z</dcterms:modified>
</cp:coreProperties>
</file>