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2A27DD" w14:textId="77777777" w:rsidR="009706BD" w:rsidRPr="00034349" w:rsidRDefault="009706BD" w:rsidP="009706BD">
      <w:pPr>
        <w:suppressLineNumbers/>
        <w:spacing w:line="240" w:lineRule="auto"/>
        <w:contextualSpacing/>
        <w:jc w:val="both"/>
        <w:rPr>
          <w:rFonts w:ascii="Arial Rounded MT Bold" w:hAnsi="Arial Rounded MT Bold"/>
          <w:b/>
          <w:bCs/>
          <w:color w:val="000000" w:themeColor="text1"/>
        </w:rPr>
      </w:pPr>
      <w:r w:rsidRPr="00034349">
        <w:rPr>
          <w:rFonts w:ascii="Arial Rounded MT Bold" w:hAnsi="Arial Rounded MT Bold"/>
          <w:b/>
          <w:bCs/>
          <w:color w:val="000000" w:themeColor="text1"/>
        </w:rPr>
        <w:t>REFERENCES</w:t>
      </w:r>
    </w:p>
    <w:p w14:paraId="454825D2" w14:textId="77777777" w:rsidR="009706BD" w:rsidRDefault="009706BD" w:rsidP="009706BD">
      <w:pPr>
        <w:suppressLineNumbers/>
        <w:spacing w:line="240" w:lineRule="auto"/>
        <w:ind w:left="567" w:hanging="567"/>
        <w:contextualSpacing/>
        <w:jc w:val="both"/>
        <w:rPr>
          <w:rFonts w:ascii="Bahnschrift" w:hAnsi="Bahnschrift"/>
          <w:color w:val="000000" w:themeColor="text1"/>
        </w:rPr>
      </w:pPr>
    </w:p>
    <w:p w14:paraId="7BDFCFA3" w14:textId="77777777" w:rsidR="009706BD" w:rsidRPr="00EB4BA8" w:rsidRDefault="009706BD" w:rsidP="009706BD">
      <w:pPr>
        <w:suppressLineNumbers/>
        <w:spacing w:line="240" w:lineRule="auto"/>
        <w:ind w:left="567" w:hanging="567"/>
        <w:contextualSpacing/>
        <w:jc w:val="both"/>
        <w:rPr>
          <w:rFonts w:ascii="Bahnschrift" w:hAnsi="Bahnschrift"/>
          <w:color w:val="000000" w:themeColor="text1"/>
        </w:rPr>
      </w:pPr>
      <w:r w:rsidRPr="00EB4BA8">
        <w:rPr>
          <w:rFonts w:ascii="Bahnschrift" w:hAnsi="Bahnschrift"/>
          <w:color w:val="000000" w:themeColor="text1"/>
        </w:rPr>
        <w:t xml:space="preserve">Braun, V., &amp; Clarke, V. (2019). Reflecting on reflexive thematic analysis. </w:t>
      </w:r>
      <w:r w:rsidRPr="00EB4BA8">
        <w:rPr>
          <w:rFonts w:ascii="Bahnschrift" w:hAnsi="Bahnschrift"/>
          <w:i/>
          <w:iCs/>
          <w:color w:val="000000" w:themeColor="text1"/>
        </w:rPr>
        <w:t>Qualitative Research in Sport, Exercise and Health, 11</w:t>
      </w:r>
      <w:r w:rsidRPr="00EB4BA8">
        <w:rPr>
          <w:rFonts w:ascii="Bahnschrift" w:hAnsi="Bahnschrift"/>
          <w:color w:val="000000" w:themeColor="text1"/>
        </w:rPr>
        <w:t xml:space="preserve">(4), 589–597. </w:t>
      </w:r>
      <w:hyperlink r:id="rId7" w:tgtFrame="_new" w:history="1">
        <w:r w:rsidRPr="00EB4BA8">
          <w:rPr>
            <w:rStyle w:val="Hyperlink"/>
            <w:rFonts w:ascii="Bahnschrift" w:hAnsi="Bahnschrift"/>
            <w:color w:val="000000" w:themeColor="text1"/>
            <w:u w:val="none"/>
          </w:rPr>
          <w:t>https://doi.org/10.1080/2159676X.2019.1628806</w:t>
        </w:r>
      </w:hyperlink>
    </w:p>
    <w:p w14:paraId="542DA510" w14:textId="77777777" w:rsidR="009706BD" w:rsidRDefault="009706BD" w:rsidP="009706BD">
      <w:pPr>
        <w:suppressLineNumbers/>
        <w:spacing w:line="240" w:lineRule="auto"/>
        <w:ind w:left="567" w:hanging="567"/>
        <w:contextualSpacing/>
        <w:jc w:val="both"/>
        <w:rPr>
          <w:rFonts w:ascii="Bahnschrift" w:hAnsi="Bahnschrift"/>
          <w:color w:val="000000" w:themeColor="text1"/>
        </w:rPr>
      </w:pPr>
    </w:p>
    <w:p w14:paraId="76223299" w14:textId="77777777" w:rsidR="009706BD" w:rsidRPr="00EB4BA8" w:rsidRDefault="009706BD" w:rsidP="009706BD">
      <w:pPr>
        <w:suppressLineNumbers/>
        <w:spacing w:line="240" w:lineRule="auto"/>
        <w:ind w:left="567" w:hanging="567"/>
        <w:contextualSpacing/>
        <w:jc w:val="both"/>
        <w:rPr>
          <w:rFonts w:ascii="Bahnschrift" w:hAnsi="Bahnschrift"/>
          <w:color w:val="000000" w:themeColor="text1"/>
        </w:rPr>
      </w:pPr>
      <w:r w:rsidRPr="00EB4BA8">
        <w:rPr>
          <w:rFonts w:ascii="Bahnschrift" w:hAnsi="Bahnschrift"/>
          <w:color w:val="000000" w:themeColor="text1"/>
        </w:rPr>
        <w:t xml:space="preserve">Chen, Y., Li, H., &amp; Wang, Z. (2024). Maintenance and resilience of flood control infrastructure under climate stress: A review of Asian case studies. </w:t>
      </w:r>
      <w:r w:rsidRPr="00EB4BA8">
        <w:rPr>
          <w:rFonts w:ascii="Bahnschrift" w:hAnsi="Bahnschrift"/>
          <w:i/>
          <w:iCs/>
          <w:color w:val="000000" w:themeColor="text1"/>
        </w:rPr>
        <w:t>Journal of Water and Climate Change, 15</w:t>
      </w:r>
      <w:r w:rsidRPr="00EB4BA8">
        <w:rPr>
          <w:rFonts w:ascii="Bahnschrift" w:hAnsi="Bahnschrift"/>
          <w:color w:val="000000" w:themeColor="text1"/>
        </w:rPr>
        <w:t xml:space="preserve">(2), 220–234. </w:t>
      </w:r>
      <w:hyperlink r:id="rId8" w:tgtFrame="_new" w:history="1">
        <w:r w:rsidRPr="00EB4BA8">
          <w:rPr>
            <w:rStyle w:val="Hyperlink"/>
            <w:rFonts w:ascii="Bahnschrift" w:hAnsi="Bahnschrift"/>
            <w:color w:val="000000" w:themeColor="text1"/>
            <w:u w:val="none"/>
          </w:rPr>
          <w:t>https://doi.org/10.2166/wcc.2024.045</w:t>
        </w:r>
      </w:hyperlink>
    </w:p>
    <w:p w14:paraId="18FC04FB" w14:textId="77777777" w:rsidR="009706BD" w:rsidRDefault="009706BD" w:rsidP="009706BD">
      <w:pPr>
        <w:suppressLineNumbers/>
        <w:spacing w:line="240" w:lineRule="auto"/>
        <w:ind w:left="567" w:hanging="567"/>
        <w:contextualSpacing/>
        <w:jc w:val="both"/>
        <w:rPr>
          <w:rFonts w:ascii="Bahnschrift" w:hAnsi="Bahnschrift"/>
          <w:color w:val="000000" w:themeColor="text1"/>
        </w:rPr>
      </w:pPr>
    </w:p>
    <w:p w14:paraId="1757CC28" w14:textId="77777777" w:rsidR="009706BD" w:rsidRPr="00EB4BA8" w:rsidRDefault="009706BD" w:rsidP="009706BD">
      <w:pPr>
        <w:suppressLineNumbers/>
        <w:spacing w:line="240" w:lineRule="auto"/>
        <w:ind w:left="567" w:hanging="567"/>
        <w:contextualSpacing/>
        <w:jc w:val="both"/>
        <w:rPr>
          <w:rFonts w:ascii="Bahnschrift" w:hAnsi="Bahnschrift"/>
          <w:color w:val="000000" w:themeColor="text1"/>
        </w:rPr>
      </w:pPr>
      <w:r w:rsidRPr="00EB4BA8">
        <w:rPr>
          <w:rFonts w:ascii="Bahnschrift" w:hAnsi="Bahnschrift"/>
          <w:color w:val="000000" w:themeColor="text1"/>
        </w:rPr>
        <w:t xml:space="preserve">Creswell, J. W., &amp; Creswell, J. D. (2018). </w:t>
      </w:r>
      <w:r w:rsidRPr="00EB4BA8">
        <w:rPr>
          <w:rFonts w:ascii="Bahnschrift" w:hAnsi="Bahnschrift"/>
          <w:i/>
          <w:iCs/>
          <w:color w:val="000000" w:themeColor="text1"/>
        </w:rPr>
        <w:t>Research design: Qualitative, quantitative, and mixed methods approaches</w:t>
      </w:r>
      <w:r w:rsidRPr="00EB4BA8">
        <w:rPr>
          <w:rFonts w:ascii="Bahnschrift" w:hAnsi="Bahnschrift"/>
          <w:color w:val="000000" w:themeColor="text1"/>
        </w:rPr>
        <w:t xml:space="preserve"> (5th ed.). SAGE Publications.</w:t>
      </w:r>
    </w:p>
    <w:p w14:paraId="1E3FCC23" w14:textId="77777777" w:rsidR="009706BD" w:rsidRDefault="009706BD" w:rsidP="009706BD">
      <w:pPr>
        <w:suppressLineNumbers/>
        <w:spacing w:line="240" w:lineRule="auto"/>
        <w:ind w:left="567" w:hanging="567"/>
        <w:contextualSpacing/>
        <w:jc w:val="both"/>
        <w:rPr>
          <w:rFonts w:ascii="Bahnschrift" w:hAnsi="Bahnschrift"/>
          <w:color w:val="000000" w:themeColor="text1"/>
        </w:rPr>
      </w:pPr>
    </w:p>
    <w:p w14:paraId="108717A3" w14:textId="77777777" w:rsidR="009706BD" w:rsidRPr="00EB4BA8" w:rsidRDefault="009706BD" w:rsidP="009706BD">
      <w:pPr>
        <w:suppressLineNumbers/>
        <w:spacing w:line="240" w:lineRule="auto"/>
        <w:ind w:left="567" w:hanging="567"/>
        <w:contextualSpacing/>
        <w:jc w:val="both"/>
        <w:rPr>
          <w:rFonts w:ascii="Bahnschrift" w:hAnsi="Bahnschrift"/>
          <w:color w:val="000000" w:themeColor="text1"/>
        </w:rPr>
      </w:pPr>
      <w:r w:rsidRPr="00EB4BA8">
        <w:rPr>
          <w:rFonts w:ascii="Bahnschrift" w:hAnsi="Bahnschrift"/>
          <w:color w:val="000000" w:themeColor="text1"/>
        </w:rPr>
        <w:t xml:space="preserve">Department of Public Works and Highways. (2024). </w:t>
      </w:r>
      <w:r w:rsidRPr="00EB4BA8">
        <w:rPr>
          <w:rFonts w:ascii="Bahnschrift" w:hAnsi="Bahnschrift"/>
          <w:i/>
          <w:iCs/>
          <w:color w:val="000000" w:themeColor="text1"/>
        </w:rPr>
        <w:t>Annual infrastructure accomplishment report 2022–2024</w:t>
      </w:r>
      <w:r w:rsidRPr="00EB4BA8">
        <w:rPr>
          <w:rFonts w:ascii="Bahnschrift" w:hAnsi="Bahnschrift"/>
          <w:color w:val="000000" w:themeColor="text1"/>
        </w:rPr>
        <w:t xml:space="preserve">. </w:t>
      </w:r>
      <w:hyperlink r:id="rId9" w:tgtFrame="_new" w:history="1">
        <w:r w:rsidRPr="00EB4BA8">
          <w:rPr>
            <w:rStyle w:val="Hyperlink"/>
            <w:rFonts w:ascii="Bahnschrift" w:hAnsi="Bahnschrift"/>
            <w:color w:val="000000" w:themeColor="text1"/>
            <w:u w:val="none"/>
          </w:rPr>
          <w:t>https://www.dpwh.gov.ph/dpwh/reports/annual</w:t>
        </w:r>
      </w:hyperlink>
    </w:p>
    <w:p w14:paraId="29A26F2E" w14:textId="77777777" w:rsidR="009706BD" w:rsidRDefault="009706BD" w:rsidP="009706BD">
      <w:pPr>
        <w:suppressLineNumbers/>
        <w:spacing w:line="240" w:lineRule="auto"/>
        <w:ind w:left="567" w:hanging="567"/>
        <w:contextualSpacing/>
        <w:jc w:val="both"/>
        <w:rPr>
          <w:rFonts w:ascii="Bahnschrift" w:hAnsi="Bahnschrift"/>
          <w:color w:val="000000" w:themeColor="text1"/>
        </w:rPr>
      </w:pPr>
    </w:p>
    <w:p w14:paraId="578FFC92" w14:textId="77777777" w:rsidR="009706BD" w:rsidRPr="00EB4BA8" w:rsidRDefault="009706BD" w:rsidP="009706BD">
      <w:pPr>
        <w:suppressLineNumbers/>
        <w:spacing w:line="240" w:lineRule="auto"/>
        <w:ind w:left="567" w:hanging="567"/>
        <w:contextualSpacing/>
        <w:jc w:val="both"/>
        <w:rPr>
          <w:rFonts w:ascii="Bahnschrift" w:hAnsi="Bahnschrift"/>
          <w:color w:val="000000" w:themeColor="text1"/>
        </w:rPr>
      </w:pPr>
      <w:proofErr w:type="spellStart"/>
      <w:r w:rsidRPr="00EB4BA8">
        <w:rPr>
          <w:rFonts w:ascii="Bahnschrift" w:hAnsi="Bahnschrift"/>
          <w:color w:val="000000" w:themeColor="text1"/>
        </w:rPr>
        <w:t>Etikan</w:t>
      </w:r>
      <w:proofErr w:type="spellEnd"/>
      <w:r w:rsidRPr="00EB4BA8">
        <w:rPr>
          <w:rFonts w:ascii="Bahnschrift" w:hAnsi="Bahnschrift"/>
          <w:color w:val="000000" w:themeColor="text1"/>
        </w:rPr>
        <w:t xml:space="preserve">, I., Musa, S. A., &amp; Alkassim, R. S. (2016). Comparison of convenience sampling and purposive sampling. </w:t>
      </w:r>
      <w:r w:rsidRPr="00EB4BA8">
        <w:rPr>
          <w:rFonts w:ascii="Bahnschrift" w:hAnsi="Bahnschrift"/>
          <w:i/>
          <w:iCs/>
          <w:color w:val="000000" w:themeColor="text1"/>
        </w:rPr>
        <w:t>American Journal of Theoretical and Applied Statistics, 5</w:t>
      </w:r>
      <w:r w:rsidRPr="00EB4BA8">
        <w:rPr>
          <w:rFonts w:ascii="Bahnschrift" w:hAnsi="Bahnschrift"/>
          <w:color w:val="000000" w:themeColor="text1"/>
        </w:rPr>
        <w:t xml:space="preserve">(1), 1–4. </w:t>
      </w:r>
      <w:hyperlink r:id="rId10" w:tgtFrame="_new" w:history="1">
        <w:r w:rsidRPr="00EB4BA8">
          <w:rPr>
            <w:rStyle w:val="Hyperlink"/>
            <w:rFonts w:ascii="Bahnschrift" w:hAnsi="Bahnschrift"/>
            <w:color w:val="000000" w:themeColor="text1"/>
            <w:u w:val="none"/>
          </w:rPr>
          <w:t>https://doi.org/10.11648/j.ajtas.20160501.11</w:t>
        </w:r>
      </w:hyperlink>
    </w:p>
    <w:p w14:paraId="49D9441B" w14:textId="77777777" w:rsidR="009706BD" w:rsidRDefault="009706BD" w:rsidP="009706BD">
      <w:pPr>
        <w:suppressLineNumbers/>
        <w:spacing w:line="240" w:lineRule="auto"/>
        <w:ind w:left="567" w:hanging="567"/>
        <w:contextualSpacing/>
        <w:jc w:val="both"/>
        <w:rPr>
          <w:rFonts w:ascii="Bahnschrift" w:hAnsi="Bahnschrift"/>
          <w:color w:val="000000" w:themeColor="text1"/>
        </w:rPr>
      </w:pPr>
    </w:p>
    <w:p w14:paraId="2F169C32" w14:textId="77777777" w:rsidR="009706BD" w:rsidRPr="00EB4BA8" w:rsidRDefault="009706BD" w:rsidP="009706BD">
      <w:pPr>
        <w:suppressLineNumbers/>
        <w:spacing w:line="240" w:lineRule="auto"/>
        <w:ind w:left="567" w:hanging="567"/>
        <w:contextualSpacing/>
        <w:jc w:val="both"/>
        <w:rPr>
          <w:rFonts w:ascii="Bahnschrift" w:hAnsi="Bahnschrift"/>
          <w:color w:val="000000" w:themeColor="text1"/>
        </w:rPr>
      </w:pPr>
      <w:r w:rsidRPr="00EB4BA8">
        <w:rPr>
          <w:rFonts w:ascii="Bahnschrift" w:hAnsi="Bahnschrift"/>
          <w:color w:val="000000" w:themeColor="text1"/>
        </w:rPr>
        <w:t xml:space="preserve">Field, A. (2018). </w:t>
      </w:r>
      <w:r w:rsidRPr="00EB4BA8">
        <w:rPr>
          <w:rFonts w:ascii="Bahnschrift" w:hAnsi="Bahnschrift"/>
          <w:i/>
          <w:iCs/>
          <w:color w:val="000000" w:themeColor="text1"/>
        </w:rPr>
        <w:t>Discovering statistics using IBM SPSS statistics</w:t>
      </w:r>
      <w:r w:rsidRPr="00EB4BA8">
        <w:rPr>
          <w:rFonts w:ascii="Bahnschrift" w:hAnsi="Bahnschrift"/>
          <w:color w:val="000000" w:themeColor="text1"/>
        </w:rPr>
        <w:t xml:space="preserve"> (5th ed.). SAGE Publications.</w:t>
      </w:r>
    </w:p>
    <w:p w14:paraId="11730295" w14:textId="77777777" w:rsidR="009706BD" w:rsidRDefault="009706BD" w:rsidP="009706BD">
      <w:pPr>
        <w:suppressLineNumbers/>
        <w:spacing w:line="240" w:lineRule="auto"/>
        <w:ind w:left="567" w:hanging="567"/>
        <w:contextualSpacing/>
        <w:jc w:val="both"/>
        <w:rPr>
          <w:rFonts w:ascii="Bahnschrift" w:hAnsi="Bahnschrift"/>
          <w:color w:val="000000" w:themeColor="text1"/>
        </w:rPr>
      </w:pPr>
    </w:p>
    <w:p w14:paraId="0436CE7F" w14:textId="77777777" w:rsidR="009706BD" w:rsidRPr="00EB4BA8" w:rsidRDefault="009706BD" w:rsidP="009706BD">
      <w:pPr>
        <w:suppressLineNumbers/>
        <w:spacing w:line="240" w:lineRule="auto"/>
        <w:ind w:left="567" w:hanging="567"/>
        <w:contextualSpacing/>
        <w:jc w:val="both"/>
        <w:rPr>
          <w:rFonts w:ascii="Bahnschrift" w:hAnsi="Bahnschrift"/>
          <w:color w:val="000000" w:themeColor="text1"/>
        </w:rPr>
      </w:pPr>
      <w:r w:rsidRPr="00EB4BA8">
        <w:rPr>
          <w:rFonts w:ascii="Bahnschrift" w:hAnsi="Bahnschrift"/>
          <w:color w:val="000000" w:themeColor="text1"/>
        </w:rPr>
        <w:t xml:space="preserve">Garcia, M. P. (2021). Socio-demographic determinants of community participation in flood risk management in the Philippines. </w:t>
      </w:r>
      <w:r w:rsidRPr="00EB4BA8">
        <w:rPr>
          <w:rFonts w:ascii="Bahnschrift" w:hAnsi="Bahnschrift"/>
          <w:i/>
          <w:iCs/>
          <w:color w:val="000000" w:themeColor="text1"/>
        </w:rPr>
        <w:t>Philippine Journal of Environmental Management, 12</w:t>
      </w:r>
      <w:r w:rsidRPr="00EB4BA8">
        <w:rPr>
          <w:rFonts w:ascii="Bahnschrift" w:hAnsi="Bahnschrift"/>
          <w:color w:val="000000" w:themeColor="text1"/>
        </w:rPr>
        <w:t>(1), 44–58.</w:t>
      </w:r>
    </w:p>
    <w:p w14:paraId="459C92BD" w14:textId="77777777" w:rsidR="009706BD" w:rsidRDefault="009706BD" w:rsidP="009706BD">
      <w:pPr>
        <w:suppressLineNumbers/>
        <w:spacing w:line="240" w:lineRule="auto"/>
        <w:ind w:left="567" w:hanging="567"/>
        <w:contextualSpacing/>
        <w:jc w:val="both"/>
        <w:rPr>
          <w:rFonts w:ascii="Bahnschrift" w:hAnsi="Bahnschrift"/>
          <w:color w:val="000000" w:themeColor="text1"/>
        </w:rPr>
      </w:pPr>
    </w:p>
    <w:p w14:paraId="22B623C5" w14:textId="77777777" w:rsidR="009706BD" w:rsidRPr="00EB4BA8" w:rsidRDefault="009706BD" w:rsidP="009706BD">
      <w:pPr>
        <w:suppressLineNumbers/>
        <w:spacing w:line="240" w:lineRule="auto"/>
        <w:ind w:left="567" w:hanging="567"/>
        <w:contextualSpacing/>
        <w:jc w:val="both"/>
        <w:rPr>
          <w:rFonts w:ascii="Bahnschrift" w:hAnsi="Bahnschrift"/>
          <w:color w:val="000000" w:themeColor="text1"/>
        </w:rPr>
      </w:pPr>
      <w:r w:rsidRPr="00EB4BA8">
        <w:rPr>
          <w:rFonts w:ascii="Bahnschrift" w:hAnsi="Bahnschrift"/>
          <w:color w:val="000000" w:themeColor="text1"/>
        </w:rPr>
        <w:t xml:space="preserve">Khan, R. (2023). Gendered responses to flood disasters: Risk perception and evacuation behavior in Southeast Asia. </w:t>
      </w:r>
      <w:r w:rsidRPr="00EB4BA8">
        <w:rPr>
          <w:rFonts w:ascii="Bahnschrift" w:hAnsi="Bahnschrift"/>
          <w:i/>
          <w:iCs/>
          <w:color w:val="000000" w:themeColor="text1"/>
        </w:rPr>
        <w:t>International Journal of Disaster Risk Reduction, 86</w:t>
      </w:r>
      <w:r w:rsidRPr="00EB4BA8">
        <w:rPr>
          <w:rFonts w:ascii="Bahnschrift" w:hAnsi="Bahnschrift"/>
          <w:color w:val="000000" w:themeColor="text1"/>
        </w:rPr>
        <w:t xml:space="preserve">, 103543. </w:t>
      </w:r>
      <w:hyperlink r:id="rId11" w:tgtFrame="_new" w:history="1">
        <w:r w:rsidRPr="00EB4BA8">
          <w:rPr>
            <w:rStyle w:val="Hyperlink"/>
            <w:rFonts w:ascii="Bahnschrift" w:hAnsi="Bahnschrift"/>
            <w:color w:val="000000" w:themeColor="text1"/>
            <w:u w:val="none"/>
          </w:rPr>
          <w:t>https://doi.org/10.1016/j.ijdrr.2023.103543</w:t>
        </w:r>
      </w:hyperlink>
    </w:p>
    <w:p w14:paraId="4086FE81" w14:textId="77777777" w:rsidR="009706BD" w:rsidRDefault="009706BD" w:rsidP="009706BD">
      <w:pPr>
        <w:suppressLineNumbers/>
        <w:spacing w:line="240" w:lineRule="auto"/>
        <w:ind w:left="567" w:hanging="567"/>
        <w:contextualSpacing/>
        <w:jc w:val="both"/>
        <w:rPr>
          <w:rFonts w:ascii="Bahnschrift" w:hAnsi="Bahnschrift"/>
          <w:color w:val="000000" w:themeColor="text1"/>
        </w:rPr>
      </w:pPr>
    </w:p>
    <w:p w14:paraId="15DE6EB6" w14:textId="77777777" w:rsidR="009706BD" w:rsidRPr="00EB4BA8" w:rsidRDefault="009706BD" w:rsidP="009706BD">
      <w:pPr>
        <w:suppressLineNumbers/>
        <w:spacing w:line="240" w:lineRule="auto"/>
        <w:ind w:left="567" w:hanging="567"/>
        <w:contextualSpacing/>
        <w:jc w:val="both"/>
        <w:rPr>
          <w:rFonts w:ascii="Bahnschrift" w:hAnsi="Bahnschrift"/>
          <w:color w:val="000000" w:themeColor="text1"/>
        </w:rPr>
      </w:pPr>
      <w:r w:rsidRPr="00EB4BA8">
        <w:rPr>
          <w:rFonts w:ascii="Bahnschrift" w:hAnsi="Bahnschrift"/>
          <w:color w:val="000000" w:themeColor="text1"/>
        </w:rPr>
        <w:t>Philippine Atmospheric, Geophysical and Astronomical Services Administration</w:t>
      </w:r>
      <w:r>
        <w:rPr>
          <w:rFonts w:ascii="Bahnschrift" w:hAnsi="Bahnschrift"/>
          <w:color w:val="000000" w:themeColor="text1"/>
        </w:rPr>
        <w:t xml:space="preserve"> [PAGASA]</w:t>
      </w:r>
      <w:r w:rsidRPr="00EB4BA8">
        <w:rPr>
          <w:rFonts w:ascii="Bahnschrift" w:hAnsi="Bahnschrift"/>
          <w:color w:val="000000" w:themeColor="text1"/>
        </w:rPr>
        <w:t xml:space="preserve">. (2023). </w:t>
      </w:r>
      <w:r w:rsidRPr="00EB4BA8">
        <w:rPr>
          <w:rFonts w:ascii="Bahnschrift" w:hAnsi="Bahnschrift"/>
          <w:i/>
          <w:iCs/>
          <w:color w:val="000000" w:themeColor="text1"/>
        </w:rPr>
        <w:t>Annual report on Philippine climate and weather extremes</w:t>
      </w:r>
      <w:r w:rsidRPr="00EB4BA8">
        <w:rPr>
          <w:rFonts w:ascii="Bahnschrift" w:hAnsi="Bahnschrift"/>
          <w:color w:val="000000" w:themeColor="text1"/>
        </w:rPr>
        <w:t xml:space="preserve">. </w:t>
      </w:r>
      <w:hyperlink r:id="rId12" w:tgtFrame="_new" w:history="1">
        <w:r w:rsidRPr="00EB4BA8">
          <w:rPr>
            <w:rStyle w:val="Hyperlink"/>
            <w:rFonts w:ascii="Bahnschrift" w:hAnsi="Bahnschrift"/>
            <w:color w:val="000000" w:themeColor="text1"/>
            <w:u w:val="none"/>
          </w:rPr>
          <w:t>https://www.pagasa.dost.gov.ph/</w:t>
        </w:r>
      </w:hyperlink>
    </w:p>
    <w:p w14:paraId="1149F969" w14:textId="77777777" w:rsidR="009706BD" w:rsidRDefault="009706BD" w:rsidP="009706BD">
      <w:pPr>
        <w:suppressLineNumbers/>
        <w:spacing w:line="240" w:lineRule="auto"/>
        <w:ind w:left="567" w:hanging="567"/>
        <w:contextualSpacing/>
        <w:jc w:val="both"/>
        <w:rPr>
          <w:rFonts w:ascii="Bahnschrift" w:hAnsi="Bahnschrift"/>
          <w:color w:val="000000" w:themeColor="text1"/>
        </w:rPr>
      </w:pPr>
    </w:p>
    <w:p w14:paraId="5DF1FAF3" w14:textId="77777777" w:rsidR="009706BD" w:rsidRPr="00EB4BA8" w:rsidRDefault="009706BD" w:rsidP="009706BD">
      <w:pPr>
        <w:suppressLineNumbers/>
        <w:spacing w:line="240" w:lineRule="auto"/>
        <w:ind w:left="567" w:hanging="567"/>
        <w:contextualSpacing/>
        <w:jc w:val="both"/>
        <w:rPr>
          <w:rFonts w:ascii="Bahnschrift" w:hAnsi="Bahnschrift"/>
          <w:color w:val="000000" w:themeColor="text1"/>
        </w:rPr>
      </w:pPr>
      <w:r w:rsidRPr="00EB4BA8">
        <w:rPr>
          <w:rFonts w:ascii="Bahnschrift" w:hAnsi="Bahnschrift"/>
          <w:color w:val="000000" w:themeColor="text1"/>
        </w:rPr>
        <w:t xml:space="preserve">Santos, L. J. (2024). Education and awareness as drivers of flood preparedness in rural Philippine communities. </w:t>
      </w:r>
      <w:r w:rsidRPr="00EB4BA8">
        <w:rPr>
          <w:rFonts w:ascii="Bahnschrift" w:hAnsi="Bahnschrift"/>
          <w:i/>
          <w:iCs/>
          <w:color w:val="000000" w:themeColor="text1"/>
        </w:rPr>
        <w:t>Asian Journal of Disaster Education, 9</w:t>
      </w:r>
      <w:r w:rsidRPr="00EB4BA8">
        <w:rPr>
          <w:rFonts w:ascii="Bahnschrift" w:hAnsi="Bahnschrift"/>
          <w:color w:val="000000" w:themeColor="text1"/>
        </w:rPr>
        <w:t>(1), 77–92.</w:t>
      </w:r>
    </w:p>
    <w:p w14:paraId="273512E5" w14:textId="77777777" w:rsidR="009706BD" w:rsidRDefault="009706BD" w:rsidP="009706BD">
      <w:pPr>
        <w:suppressLineNumbers/>
        <w:spacing w:line="240" w:lineRule="auto"/>
        <w:ind w:left="567" w:hanging="567"/>
        <w:contextualSpacing/>
        <w:jc w:val="both"/>
        <w:rPr>
          <w:rFonts w:ascii="Bahnschrift" w:hAnsi="Bahnschrift"/>
          <w:color w:val="000000" w:themeColor="text1"/>
        </w:rPr>
      </w:pPr>
    </w:p>
    <w:p w14:paraId="3A22B422" w14:textId="77777777" w:rsidR="009706BD" w:rsidRPr="00EB4BA8" w:rsidRDefault="009706BD" w:rsidP="009706BD">
      <w:pPr>
        <w:suppressLineNumbers/>
        <w:spacing w:line="240" w:lineRule="auto"/>
        <w:ind w:left="567" w:hanging="567"/>
        <w:contextualSpacing/>
        <w:jc w:val="both"/>
        <w:rPr>
          <w:rFonts w:ascii="Bahnschrift" w:hAnsi="Bahnschrift"/>
          <w:color w:val="000000" w:themeColor="text1"/>
        </w:rPr>
      </w:pPr>
      <w:r w:rsidRPr="00EB4BA8">
        <w:rPr>
          <w:rFonts w:ascii="Bahnschrift" w:hAnsi="Bahnschrift"/>
          <w:color w:val="000000" w:themeColor="text1"/>
        </w:rPr>
        <w:t xml:space="preserve">Sun, J., Fang, Y., &amp; Zhang, L. (2023). Perceived effectiveness of flood control structures in building community resilience. </w:t>
      </w:r>
      <w:r w:rsidRPr="00EB4BA8">
        <w:rPr>
          <w:rFonts w:ascii="Bahnschrift" w:hAnsi="Bahnschrift"/>
          <w:i/>
          <w:iCs/>
          <w:color w:val="000000" w:themeColor="text1"/>
        </w:rPr>
        <w:t>Natural Hazards Review, 24</w:t>
      </w:r>
      <w:r w:rsidRPr="00EB4BA8">
        <w:rPr>
          <w:rFonts w:ascii="Bahnschrift" w:hAnsi="Bahnschrift"/>
          <w:color w:val="000000" w:themeColor="text1"/>
        </w:rPr>
        <w:t xml:space="preserve">(3), 04023012. </w:t>
      </w:r>
      <w:hyperlink r:id="rId13" w:tgtFrame="_new" w:history="1">
        <w:r w:rsidRPr="00EB4BA8">
          <w:rPr>
            <w:rStyle w:val="Hyperlink"/>
            <w:rFonts w:ascii="Bahnschrift" w:hAnsi="Bahnschrift"/>
            <w:color w:val="000000" w:themeColor="text1"/>
            <w:u w:val="none"/>
          </w:rPr>
          <w:t>https://doi.org/10.1061/NHREFO.0001420</w:t>
        </w:r>
      </w:hyperlink>
    </w:p>
    <w:p w14:paraId="60654721" w14:textId="77777777" w:rsidR="009706BD" w:rsidRDefault="009706BD" w:rsidP="009706BD">
      <w:pPr>
        <w:suppressLineNumbers/>
        <w:spacing w:line="240" w:lineRule="auto"/>
        <w:ind w:left="567" w:hanging="567"/>
        <w:contextualSpacing/>
        <w:jc w:val="both"/>
        <w:rPr>
          <w:rFonts w:ascii="Bahnschrift" w:hAnsi="Bahnschrift"/>
          <w:color w:val="000000" w:themeColor="text1"/>
        </w:rPr>
      </w:pPr>
    </w:p>
    <w:p w14:paraId="2866A178" w14:textId="77777777" w:rsidR="009706BD" w:rsidRPr="00EB4BA8" w:rsidRDefault="009706BD" w:rsidP="009706BD">
      <w:pPr>
        <w:suppressLineNumbers/>
        <w:spacing w:line="240" w:lineRule="auto"/>
        <w:ind w:left="567" w:hanging="567"/>
        <w:contextualSpacing/>
        <w:jc w:val="both"/>
        <w:rPr>
          <w:rFonts w:ascii="Bahnschrift" w:hAnsi="Bahnschrift"/>
          <w:color w:val="000000" w:themeColor="text1"/>
        </w:rPr>
      </w:pPr>
      <w:r w:rsidRPr="00EB4BA8">
        <w:rPr>
          <w:rFonts w:ascii="Bahnschrift" w:hAnsi="Bahnschrift"/>
          <w:color w:val="000000" w:themeColor="text1"/>
        </w:rPr>
        <w:t xml:space="preserve">Taber, K. S. (2018). The use of Cronbach’s alpha when developing and reporting research instruments in science education. </w:t>
      </w:r>
      <w:r w:rsidRPr="00EB4BA8">
        <w:rPr>
          <w:rFonts w:ascii="Bahnschrift" w:hAnsi="Bahnschrift"/>
          <w:i/>
          <w:iCs/>
          <w:color w:val="000000" w:themeColor="text1"/>
        </w:rPr>
        <w:t>Research in Science Education, 48</w:t>
      </w:r>
      <w:r w:rsidRPr="00EB4BA8">
        <w:rPr>
          <w:rFonts w:ascii="Bahnschrift" w:hAnsi="Bahnschrift"/>
          <w:color w:val="000000" w:themeColor="text1"/>
        </w:rPr>
        <w:t xml:space="preserve">(6), 1273–1296. </w:t>
      </w:r>
      <w:hyperlink r:id="rId14" w:tgtFrame="_new" w:history="1">
        <w:r w:rsidRPr="00EB4BA8">
          <w:rPr>
            <w:rStyle w:val="Hyperlink"/>
            <w:rFonts w:ascii="Bahnschrift" w:hAnsi="Bahnschrift"/>
            <w:color w:val="000000" w:themeColor="text1"/>
            <w:u w:val="none"/>
          </w:rPr>
          <w:t>https://doi.org/10.1007/s11165-016-9602-2</w:t>
        </w:r>
      </w:hyperlink>
    </w:p>
    <w:p w14:paraId="044D4254" w14:textId="77777777" w:rsidR="009706BD" w:rsidRDefault="009706BD" w:rsidP="009706BD">
      <w:pPr>
        <w:suppressLineNumbers/>
        <w:spacing w:line="240" w:lineRule="auto"/>
        <w:ind w:left="567" w:hanging="567"/>
        <w:contextualSpacing/>
        <w:jc w:val="both"/>
        <w:rPr>
          <w:rFonts w:ascii="Bahnschrift" w:hAnsi="Bahnschrift"/>
          <w:color w:val="000000" w:themeColor="text1"/>
        </w:rPr>
      </w:pPr>
    </w:p>
    <w:p w14:paraId="22F639CE" w14:textId="77777777" w:rsidR="009706BD" w:rsidRPr="00EB4BA8" w:rsidRDefault="009706BD" w:rsidP="009706BD">
      <w:pPr>
        <w:suppressLineNumbers/>
        <w:spacing w:line="240" w:lineRule="auto"/>
        <w:ind w:left="567" w:hanging="567"/>
        <w:contextualSpacing/>
        <w:jc w:val="both"/>
        <w:rPr>
          <w:rFonts w:ascii="Bahnschrift" w:hAnsi="Bahnschrift"/>
          <w:color w:val="000000" w:themeColor="text1"/>
        </w:rPr>
      </w:pPr>
      <w:r w:rsidRPr="00EB4BA8">
        <w:rPr>
          <w:rFonts w:ascii="Bahnschrift" w:hAnsi="Bahnschrift"/>
          <w:color w:val="000000" w:themeColor="text1"/>
        </w:rPr>
        <w:t xml:space="preserve">Tan, R., Dela Cruz, P., &amp; Ramos, V. (2023). Evaluating levee and dike systems in Philippine flood-prone areas: Community safety outcomes. </w:t>
      </w:r>
      <w:r w:rsidRPr="00EB4BA8">
        <w:rPr>
          <w:rFonts w:ascii="Bahnschrift" w:hAnsi="Bahnschrift"/>
          <w:i/>
          <w:iCs/>
          <w:color w:val="000000" w:themeColor="text1"/>
        </w:rPr>
        <w:t>Journal of Flood Risk Management, 16</w:t>
      </w:r>
      <w:r w:rsidRPr="00EB4BA8">
        <w:rPr>
          <w:rFonts w:ascii="Bahnschrift" w:hAnsi="Bahnschrift"/>
          <w:color w:val="000000" w:themeColor="text1"/>
        </w:rPr>
        <w:t xml:space="preserve">(1), e12888. </w:t>
      </w:r>
      <w:hyperlink r:id="rId15" w:tgtFrame="_new" w:history="1">
        <w:r w:rsidRPr="00EB4BA8">
          <w:rPr>
            <w:rStyle w:val="Hyperlink"/>
            <w:rFonts w:ascii="Bahnschrift" w:hAnsi="Bahnschrift"/>
            <w:color w:val="000000" w:themeColor="text1"/>
            <w:u w:val="none"/>
          </w:rPr>
          <w:t>https://doi.org/10.1111/jfr3.12888</w:t>
        </w:r>
      </w:hyperlink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16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742EC0" w14:textId="77777777" w:rsidR="000361BB" w:rsidRDefault="000361BB" w:rsidP="00290EE2">
      <w:pPr>
        <w:spacing w:after="0" w:line="240" w:lineRule="auto"/>
      </w:pPr>
      <w:r>
        <w:separator/>
      </w:r>
    </w:p>
  </w:endnote>
  <w:endnote w:type="continuationSeparator" w:id="0">
    <w:p w14:paraId="4C9A8F97" w14:textId="77777777" w:rsidR="000361BB" w:rsidRDefault="000361BB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26A988" w14:textId="77777777" w:rsidR="000361BB" w:rsidRDefault="000361BB" w:rsidP="00290EE2">
      <w:pPr>
        <w:spacing w:after="0" w:line="240" w:lineRule="auto"/>
      </w:pPr>
      <w:r>
        <w:separator/>
      </w:r>
    </w:p>
  </w:footnote>
  <w:footnote w:type="continuationSeparator" w:id="0">
    <w:p w14:paraId="7927CF4D" w14:textId="77777777" w:rsidR="000361BB" w:rsidRDefault="000361BB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361BB"/>
    <w:rsid w:val="000845F5"/>
    <w:rsid w:val="000854B9"/>
    <w:rsid w:val="00085B6A"/>
    <w:rsid w:val="000905B2"/>
    <w:rsid w:val="000C2E76"/>
    <w:rsid w:val="000F5057"/>
    <w:rsid w:val="001F54EA"/>
    <w:rsid w:val="001F5BD9"/>
    <w:rsid w:val="00211740"/>
    <w:rsid w:val="00222ABA"/>
    <w:rsid w:val="00246867"/>
    <w:rsid w:val="00290EE2"/>
    <w:rsid w:val="00297A83"/>
    <w:rsid w:val="002D0592"/>
    <w:rsid w:val="002D3698"/>
    <w:rsid w:val="00330D2C"/>
    <w:rsid w:val="00370561"/>
    <w:rsid w:val="003970FD"/>
    <w:rsid w:val="003C1C37"/>
    <w:rsid w:val="0044264E"/>
    <w:rsid w:val="00451A1D"/>
    <w:rsid w:val="00485B27"/>
    <w:rsid w:val="00487414"/>
    <w:rsid w:val="004919D4"/>
    <w:rsid w:val="004B00A8"/>
    <w:rsid w:val="00513D4A"/>
    <w:rsid w:val="005611F8"/>
    <w:rsid w:val="00567107"/>
    <w:rsid w:val="005B5DD9"/>
    <w:rsid w:val="005C1604"/>
    <w:rsid w:val="005D4E9F"/>
    <w:rsid w:val="005E50C0"/>
    <w:rsid w:val="00603552"/>
    <w:rsid w:val="00607AB1"/>
    <w:rsid w:val="00623E52"/>
    <w:rsid w:val="00623E9B"/>
    <w:rsid w:val="00640E62"/>
    <w:rsid w:val="0064183D"/>
    <w:rsid w:val="00645E4B"/>
    <w:rsid w:val="00657F10"/>
    <w:rsid w:val="00671F20"/>
    <w:rsid w:val="0068556F"/>
    <w:rsid w:val="006F7E14"/>
    <w:rsid w:val="00755F49"/>
    <w:rsid w:val="0076121C"/>
    <w:rsid w:val="007A4C79"/>
    <w:rsid w:val="007E1A12"/>
    <w:rsid w:val="00805D1B"/>
    <w:rsid w:val="00814436"/>
    <w:rsid w:val="00847EF6"/>
    <w:rsid w:val="00866E71"/>
    <w:rsid w:val="008A200E"/>
    <w:rsid w:val="008B0FD5"/>
    <w:rsid w:val="008E0D92"/>
    <w:rsid w:val="008E42EE"/>
    <w:rsid w:val="008F2867"/>
    <w:rsid w:val="009251D0"/>
    <w:rsid w:val="009500D8"/>
    <w:rsid w:val="009518D7"/>
    <w:rsid w:val="0095714A"/>
    <w:rsid w:val="009706BD"/>
    <w:rsid w:val="00991E5A"/>
    <w:rsid w:val="009C0634"/>
    <w:rsid w:val="00A21F23"/>
    <w:rsid w:val="00A50563"/>
    <w:rsid w:val="00A819D9"/>
    <w:rsid w:val="00A949FE"/>
    <w:rsid w:val="00A94BB2"/>
    <w:rsid w:val="00AB2C26"/>
    <w:rsid w:val="00AE2C6C"/>
    <w:rsid w:val="00AE71DE"/>
    <w:rsid w:val="00AE75F0"/>
    <w:rsid w:val="00B3100F"/>
    <w:rsid w:val="00B52DD2"/>
    <w:rsid w:val="00BC682E"/>
    <w:rsid w:val="00C27D2D"/>
    <w:rsid w:val="00C31B93"/>
    <w:rsid w:val="00C4676A"/>
    <w:rsid w:val="00C80E04"/>
    <w:rsid w:val="00C833B7"/>
    <w:rsid w:val="00D33289"/>
    <w:rsid w:val="00D56D5A"/>
    <w:rsid w:val="00D64BB9"/>
    <w:rsid w:val="00D801F1"/>
    <w:rsid w:val="00D80679"/>
    <w:rsid w:val="00D86FE1"/>
    <w:rsid w:val="00DC7E96"/>
    <w:rsid w:val="00DD52A7"/>
    <w:rsid w:val="00E00198"/>
    <w:rsid w:val="00E02438"/>
    <w:rsid w:val="00E1410E"/>
    <w:rsid w:val="00E441AA"/>
    <w:rsid w:val="00E5333A"/>
    <w:rsid w:val="00E5452F"/>
    <w:rsid w:val="00E84A47"/>
    <w:rsid w:val="00EA227F"/>
    <w:rsid w:val="00EB128D"/>
    <w:rsid w:val="00EC441F"/>
    <w:rsid w:val="00EC4E5D"/>
    <w:rsid w:val="00EF0898"/>
    <w:rsid w:val="00F335F1"/>
    <w:rsid w:val="00F34DCD"/>
    <w:rsid w:val="00F84A20"/>
    <w:rsid w:val="00FC6E98"/>
    <w:rsid w:val="00FE2FD1"/>
    <w:rsid w:val="00FE4A12"/>
    <w:rsid w:val="00FE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06BD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9706B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2166/wcc.2024.045" TargetMode="External"/><Relationship Id="rId13" Type="http://schemas.openxmlformats.org/officeDocument/2006/relationships/hyperlink" Target="https://doi.org/10.1061/NHREFO.0001420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doi.org/10.1080/2159676X.2019.1628806" TargetMode="External"/><Relationship Id="rId12" Type="http://schemas.openxmlformats.org/officeDocument/2006/relationships/hyperlink" Target="https://www.pagasa.dost.gov.ph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i.org/10.1016/j.ijdrr.2023.103543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doi.org/10.1111/jfr3.12888" TargetMode="External"/><Relationship Id="rId10" Type="http://schemas.openxmlformats.org/officeDocument/2006/relationships/hyperlink" Target="https://doi.org/10.11648/j.ajtas.20160501.1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dpwh.gov.ph/dpwh/reports/annual" TargetMode="External"/><Relationship Id="rId14" Type="http://schemas.openxmlformats.org/officeDocument/2006/relationships/hyperlink" Target="https://doi.org/10.1007/s11165-016-9602-2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</Pages>
  <Words>455</Words>
  <Characters>2596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39</cp:revision>
  <cp:lastPrinted>2026-02-21T05:03:00Z</cp:lastPrinted>
  <dcterms:created xsi:type="dcterms:W3CDTF">2025-12-03T11:08:00Z</dcterms:created>
  <dcterms:modified xsi:type="dcterms:W3CDTF">2026-06-03T14:40:00Z</dcterms:modified>
</cp:coreProperties>
</file>