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DFFED1" w14:textId="77777777" w:rsidR="00712D33" w:rsidRPr="00824752" w:rsidRDefault="00712D33" w:rsidP="00712D33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24752">
        <w:rPr>
          <w:rFonts w:ascii="Arial Rounded MT Bold" w:hAnsi="Arial Rounded MT Bold"/>
          <w:b/>
          <w:bCs/>
        </w:rPr>
        <w:t>REFERENCES</w:t>
      </w:r>
    </w:p>
    <w:p w14:paraId="4C3F531E" w14:textId="77777777" w:rsidR="00712D33" w:rsidRDefault="00712D33" w:rsidP="00712D33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346492C5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3FE">
        <w:rPr>
          <w:rFonts w:ascii="Bahnschrift" w:hAnsi="Bahnschrift"/>
        </w:rPr>
        <w:t xml:space="preserve">Braun, V., &amp; Clarke, V. (2006). Using thematic analysis in psychology. </w:t>
      </w:r>
      <w:r w:rsidRPr="00DB13FE">
        <w:rPr>
          <w:rFonts w:ascii="Bahnschrift" w:hAnsi="Bahnschrift"/>
          <w:i/>
          <w:iCs/>
        </w:rPr>
        <w:t>Qualitative Research in Psychology, 3</w:t>
      </w:r>
      <w:r w:rsidRPr="00DB13FE">
        <w:rPr>
          <w:rFonts w:ascii="Bahnschrift" w:hAnsi="Bahnschrift"/>
        </w:rPr>
        <w:t>(2), 77-101. https://doi.org/10.1191/1478088706qp063oa</w:t>
      </w:r>
    </w:p>
    <w:p w14:paraId="115F667D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3EB7180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3FE">
        <w:rPr>
          <w:rFonts w:ascii="Bahnschrift" w:hAnsi="Bahnschrift"/>
        </w:rPr>
        <w:t xml:space="preserve">CAST. (2024). </w:t>
      </w:r>
      <w:r w:rsidRPr="00DB13FE">
        <w:rPr>
          <w:rFonts w:ascii="Bahnschrift" w:hAnsi="Bahnschrift"/>
          <w:i/>
          <w:iCs/>
        </w:rPr>
        <w:t>Universal Design for Learning Guidelines version 3.0</w:t>
      </w:r>
      <w:r w:rsidRPr="00DB13FE">
        <w:rPr>
          <w:rFonts w:ascii="Bahnschrift" w:hAnsi="Bahnschrift"/>
        </w:rPr>
        <w:t>. https://udlguidelines.cast.org</w:t>
      </w:r>
    </w:p>
    <w:p w14:paraId="4A6DF5CB" w14:textId="77777777" w:rsidR="00712D33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777B52B8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3FE">
        <w:rPr>
          <w:rFonts w:ascii="Bahnschrift" w:hAnsi="Bahnschrift"/>
        </w:rPr>
        <w:t xml:space="preserve">Commission on Higher Education. (2017). </w:t>
      </w:r>
      <w:r w:rsidRPr="00DB13FE">
        <w:rPr>
          <w:rFonts w:ascii="Bahnschrift" w:hAnsi="Bahnschrift"/>
          <w:i/>
          <w:iCs/>
        </w:rPr>
        <w:t>CHED Memorandum Order No. 74, series of 2017: Policies, standards and guidelines for Bachelor of Elementary Education (</w:t>
      </w:r>
      <w:proofErr w:type="spellStart"/>
      <w:r w:rsidRPr="00DB13FE">
        <w:rPr>
          <w:rFonts w:ascii="Bahnschrift" w:hAnsi="Bahnschrift"/>
          <w:i/>
          <w:iCs/>
        </w:rPr>
        <w:t>BEEd</w:t>
      </w:r>
      <w:proofErr w:type="spellEnd"/>
      <w:r w:rsidRPr="00DB13FE">
        <w:rPr>
          <w:rFonts w:ascii="Bahnschrift" w:hAnsi="Bahnschrift"/>
          <w:i/>
          <w:iCs/>
        </w:rPr>
        <w:t>)</w:t>
      </w:r>
      <w:r w:rsidRPr="00DB13FE">
        <w:rPr>
          <w:rFonts w:ascii="Bahnschrift" w:hAnsi="Bahnschrift"/>
        </w:rPr>
        <w:t>. ched.gov.ph</w:t>
      </w:r>
    </w:p>
    <w:p w14:paraId="51216536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0934B8F0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3FE">
        <w:rPr>
          <w:rFonts w:ascii="Bahnschrift" w:hAnsi="Bahnschrift"/>
        </w:rPr>
        <w:t xml:space="preserve">Commission on Higher Education. (2017). </w:t>
      </w:r>
      <w:r w:rsidRPr="00DB13FE">
        <w:rPr>
          <w:rFonts w:ascii="Bahnschrift" w:hAnsi="Bahnschrift"/>
          <w:i/>
          <w:iCs/>
        </w:rPr>
        <w:t>CHED Memorandum Order No. 75, series of 2017: Policies, standards and guidelines for Bachelor of Secondary Education (</w:t>
      </w:r>
      <w:proofErr w:type="spellStart"/>
      <w:r w:rsidRPr="00DB13FE">
        <w:rPr>
          <w:rFonts w:ascii="Bahnschrift" w:hAnsi="Bahnschrift"/>
          <w:i/>
          <w:iCs/>
        </w:rPr>
        <w:t>BSEd</w:t>
      </w:r>
      <w:proofErr w:type="spellEnd"/>
      <w:r w:rsidRPr="00DB13FE">
        <w:rPr>
          <w:rFonts w:ascii="Bahnschrift" w:hAnsi="Bahnschrift"/>
          <w:i/>
          <w:iCs/>
        </w:rPr>
        <w:t>)</w:t>
      </w:r>
      <w:r w:rsidRPr="00DB13FE">
        <w:rPr>
          <w:rFonts w:ascii="Bahnschrift" w:hAnsi="Bahnschrift"/>
        </w:rPr>
        <w:t>. ched.gov.ph</w:t>
      </w:r>
    </w:p>
    <w:p w14:paraId="46A78D61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4E792F0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3FE">
        <w:rPr>
          <w:rFonts w:ascii="Bahnschrift" w:hAnsi="Bahnschrift"/>
        </w:rPr>
        <w:t xml:space="preserve">Creswell, J. W., &amp; Plano Clark, V. L. (2017). </w:t>
      </w:r>
      <w:r w:rsidRPr="00DB13FE">
        <w:rPr>
          <w:rFonts w:ascii="Bahnschrift" w:hAnsi="Bahnschrift"/>
          <w:i/>
          <w:iCs/>
        </w:rPr>
        <w:t>Designing and conducting mixed methods research</w:t>
      </w:r>
      <w:r w:rsidRPr="00DB13FE">
        <w:rPr>
          <w:rFonts w:ascii="Bahnschrift" w:hAnsi="Bahnschrift"/>
        </w:rPr>
        <w:t xml:space="preserve"> (3rd ed.). SAGE Publications.</w:t>
      </w:r>
    </w:p>
    <w:p w14:paraId="62FCCCB7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74665EB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3FE">
        <w:rPr>
          <w:rFonts w:ascii="Bahnschrift" w:hAnsi="Bahnschrift"/>
        </w:rPr>
        <w:t xml:space="preserve">Darling-Hammond, L., Flook, L., Cook-Harvey, C., Barron, B., &amp; Osher, D. (2020). Implications for educational practice of the science of learning and development. </w:t>
      </w:r>
      <w:r w:rsidRPr="00DB13FE">
        <w:rPr>
          <w:rFonts w:ascii="Bahnschrift" w:hAnsi="Bahnschrift"/>
          <w:i/>
          <w:iCs/>
        </w:rPr>
        <w:t>Applied Developmental Science, 24</w:t>
      </w:r>
      <w:r w:rsidRPr="00DB13FE">
        <w:rPr>
          <w:rFonts w:ascii="Bahnschrift" w:hAnsi="Bahnschrift"/>
        </w:rPr>
        <w:t>(2), 97-140. https://doi.org/10.1080/10888691.2018.1537791</w:t>
      </w:r>
    </w:p>
    <w:p w14:paraId="02C0AF42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35102402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3FE">
        <w:rPr>
          <w:rFonts w:ascii="Bahnschrift" w:hAnsi="Bahnschrift"/>
        </w:rPr>
        <w:t xml:space="preserve">Department of Education. (2017). </w:t>
      </w:r>
      <w:r w:rsidRPr="00DB13FE">
        <w:rPr>
          <w:rFonts w:ascii="Bahnschrift" w:hAnsi="Bahnschrift"/>
          <w:i/>
          <w:iCs/>
        </w:rPr>
        <w:t>DepEd Order No. 42, s. 2017: National adoption and implementation of the Philippine Professional Standards for Teachers</w:t>
      </w:r>
      <w:r w:rsidRPr="00DB13FE">
        <w:rPr>
          <w:rFonts w:ascii="Bahnschrift" w:hAnsi="Bahnschrift"/>
        </w:rPr>
        <w:t>. deped.gov.ph</w:t>
      </w:r>
    </w:p>
    <w:p w14:paraId="474240F0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53C20A5B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3FE">
        <w:rPr>
          <w:rFonts w:ascii="Bahnschrift" w:hAnsi="Bahnschrift"/>
        </w:rPr>
        <w:t xml:space="preserve">Freeman, S., Eddy, S. L., McDonough, M., Smith, M. K., Okoroafor, N., Jordt, H., &amp; Wenderoth, M. P. (2014). Active learning increases student performance in science, engineering, and mathematics. </w:t>
      </w:r>
      <w:r w:rsidRPr="00DB13FE">
        <w:rPr>
          <w:rFonts w:ascii="Bahnschrift" w:hAnsi="Bahnschrift"/>
          <w:i/>
          <w:iCs/>
        </w:rPr>
        <w:t>Proceedings of the National Academy of Sciences, 111</w:t>
      </w:r>
      <w:r w:rsidRPr="00DB13FE">
        <w:rPr>
          <w:rFonts w:ascii="Bahnschrift" w:hAnsi="Bahnschrift"/>
        </w:rPr>
        <w:t>(23), 8410-8415. https://doi.org/10.1073/pnas.1319030111</w:t>
      </w:r>
    </w:p>
    <w:p w14:paraId="561436B9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0844619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3FE">
        <w:rPr>
          <w:rFonts w:ascii="Bahnschrift" w:hAnsi="Bahnschrift"/>
        </w:rPr>
        <w:t xml:space="preserve">Hattie, J., &amp; Timperley, H. (2007). The power of feedback. </w:t>
      </w:r>
      <w:r w:rsidRPr="00DB13FE">
        <w:rPr>
          <w:rFonts w:ascii="Bahnschrift" w:hAnsi="Bahnschrift"/>
          <w:i/>
          <w:iCs/>
        </w:rPr>
        <w:t>Review of Educational Research, 77</w:t>
      </w:r>
      <w:r w:rsidRPr="00DB13FE">
        <w:rPr>
          <w:rFonts w:ascii="Bahnschrift" w:hAnsi="Bahnschrift"/>
        </w:rPr>
        <w:t>(1), 81-112. https://doi.org/10.3102/003465430298487</w:t>
      </w:r>
    </w:p>
    <w:p w14:paraId="4D8226B1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15132693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3FE">
        <w:rPr>
          <w:rFonts w:ascii="Bahnschrift" w:hAnsi="Bahnschrift"/>
        </w:rPr>
        <w:t xml:space="preserve">Herrmann, N. (1996). </w:t>
      </w:r>
      <w:r w:rsidRPr="00DB13FE">
        <w:rPr>
          <w:rFonts w:ascii="Bahnschrift" w:hAnsi="Bahnschrift"/>
          <w:i/>
          <w:iCs/>
        </w:rPr>
        <w:t>The whole brain business book: Unlocking the power of whole brain thinking in organizations and individuals</w:t>
      </w:r>
      <w:r w:rsidRPr="00DB13FE">
        <w:rPr>
          <w:rFonts w:ascii="Bahnschrift" w:hAnsi="Bahnschrift"/>
        </w:rPr>
        <w:t>. McGraw-Hill.</w:t>
      </w:r>
    </w:p>
    <w:p w14:paraId="1ABB99D1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A08942F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3FE">
        <w:rPr>
          <w:rFonts w:ascii="Bahnschrift" w:hAnsi="Bahnschrift"/>
        </w:rPr>
        <w:t xml:space="preserve">Mayer, R. E. (2024). The past, present, and future of the cognitive theory of multimedia learning. </w:t>
      </w:r>
      <w:r w:rsidRPr="00DB13FE">
        <w:rPr>
          <w:rFonts w:ascii="Bahnschrift" w:hAnsi="Bahnschrift"/>
          <w:i/>
          <w:iCs/>
        </w:rPr>
        <w:t>Educational Psychology Review, 36</w:t>
      </w:r>
      <w:r w:rsidRPr="00DB13FE">
        <w:rPr>
          <w:rFonts w:ascii="Bahnschrift" w:hAnsi="Bahnschrift"/>
        </w:rPr>
        <w:t>, Article 8. https://doi.org/10.1007/s10648-023-09842-1</w:t>
      </w:r>
    </w:p>
    <w:p w14:paraId="26299DD3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25987DD2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r w:rsidRPr="00DB13FE">
        <w:rPr>
          <w:rFonts w:ascii="Bahnschrift" w:hAnsi="Bahnschrift"/>
        </w:rPr>
        <w:t xml:space="preserve">Prince, M. (2004). Does active learning work? A review of the research. </w:t>
      </w:r>
      <w:r w:rsidRPr="00DB13FE">
        <w:rPr>
          <w:rFonts w:ascii="Bahnschrift" w:hAnsi="Bahnschrift"/>
          <w:i/>
          <w:iCs/>
        </w:rPr>
        <w:t>Journal of Engineering Education, 93</w:t>
      </w:r>
      <w:r w:rsidRPr="00DB13FE">
        <w:rPr>
          <w:rFonts w:ascii="Bahnschrift" w:hAnsi="Bahnschrift"/>
        </w:rPr>
        <w:t>(3), 223-231. https://doi.org/10.1002/j.2168-9830.2004.tb00809.x</w:t>
      </w:r>
    </w:p>
    <w:p w14:paraId="661FB6C8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</w:p>
    <w:p w14:paraId="69B3FA29" w14:textId="77777777" w:rsidR="00712D33" w:rsidRPr="00DB13FE" w:rsidRDefault="00712D33" w:rsidP="00712D33">
      <w:pPr>
        <w:suppressLineNumbers/>
        <w:spacing w:after="0" w:line="240" w:lineRule="auto"/>
        <w:ind w:left="720" w:hanging="720"/>
        <w:jc w:val="both"/>
        <w:rPr>
          <w:rFonts w:ascii="Bahnschrift" w:hAnsi="Bahnschrift"/>
        </w:rPr>
      </w:pPr>
      <w:proofErr w:type="spellStart"/>
      <w:r w:rsidRPr="00DB13FE">
        <w:rPr>
          <w:rFonts w:ascii="Bahnschrift" w:hAnsi="Bahnschrift"/>
        </w:rPr>
        <w:t>Sweller</w:t>
      </w:r>
      <w:proofErr w:type="spellEnd"/>
      <w:r w:rsidRPr="00DB13FE">
        <w:rPr>
          <w:rFonts w:ascii="Bahnschrift" w:hAnsi="Bahnschrift"/>
        </w:rPr>
        <w:t xml:space="preserve">, J., van </w:t>
      </w:r>
      <w:proofErr w:type="spellStart"/>
      <w:r w:rsidRPr="00DB13FE">
        <w:rPr>
          <w:rFonts w:ascii="Bahnschrift" w:hAnsi="Bahnschrift"/>
        </w:rPr>
        <w:t>Merrienboer</w:t>
      </w:r>
      <w:proofErr w:type="spellEnd"/>
      <w:r w:rsidRPr="00DB13FE">
        <w:rPr>
          <w:rFonts w:ascii="Bahnschrift" w:hAnsi="Bahnschrift"/>
        </w:rPr>
        <w:t xml:space="preserve">, J. J. G., &amp; Paas, F. (2019). Cognitive architecture and instructional design: 20 years later. </w:t>
      </w:r>
      <w:r w:rsidRPr="00DB13FE">
        <w:rPr>
          <w:rFonts w:ascii="Bahnschrift" w:hAnsi="Bahnschrift"/>
          <w:i/>
          <w:iCs/>
        </w:rPr>
        <w:t>Educational Psychology Review, 31</w:t>
      </w:r>
      <w:r w:rsidRPr="00DB13FE">
        <w:rPr>
          <w:rFonts w:ascii="Bahnschrift" w:hAnsi="Bahnschrift"/>
        </w:rPr>
        <w:t>, 261-292. https://doi.org/10.1007/s10648-019-09465-5</w:t>
      </w:r>
    </w:p>
    <w:p w14:paraId="7F55EAF9" w14:textId="4E37BB98" w:rsidR="00671F20" w:rsidRPr="00FE2FD1" w:rsidRDefault="00671F20" w:rsidP="00FE2FD1">
      <w:pPr>
        <w:rPr>
          <w:lang w:val="en-US"/>
        </w:rPr>
      </w:pPr>
    </w:p>
    <w:sectPr w:rsidR="00671F20" w:rsidRPr="00FE2FD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61C3A9" w14:textId="77777777" w:rsidR="00F22709" w:rsidRDefault="00F22709" w:rsidP="00290EE2">
      <w:pPr>
        <w:spacing w:after="0" w:line="240" w:lineRule="auto"/>
      </w:pPr>
      <w:r>
        <w:separator/>
      </w:r>
    </w:p>
  </w:endnote>
  <w:endnote w:type="continuationSeparator" w:id="0">
    <w:p w14:paraId="7949D8BB" w14:textId="77777777" w:rsidR="00F22709" w:rsidRDefault="00F2270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FEF595" w14:textId="77777777" w:rsidR="00F22709" w:rsidRDefault="00F22709" w:rsidP="00290EE2">
      <w:pPr>
        <w:spacing w:after="0" w:line="240" w:lineRule="auto"/>
      </w:pPr>
      <w:r>
        <w:separator/>
      </w:r>
    </w:p>
  </w:footnote>
  <w:footnote w:type="continuationSeparator" w:id="0">
    <w:p w14:paraId="7637B4EC" w14:textId="77777777" w:rsidR="00F22709" w:rsidRDefault="00F2270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A963175"/>
    <w:multiLevelType w:val="multilevel"/>
    <w:tmpl w:val="0EAC1E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F16537"/>
    <w:multiLevelType w:val="multilevel"/>
    <w:tmpl w:val="86805A8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43D2433"/>
    <w:multiLevelType w:val="multilevel"/>
    <w:tmpl w:val="E75E94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3"/>
  </w:num>
  <w:num w:numId="2" w16cid:durableId="1840268275">
    <w:abstractNumId w:val="11"/>
  </w:num>
  <w:num w:numId="3" w16cid:durableId="2000771353">
    <w:abstractNumId w:val="38"/>
  </w:num>
  <w:num w:numId="4" w16cid:durableId="2116243982">
    <w:abstractNumId w:val="34"/>
  </w:num>
  <w:num w:numId="5" w16cid:durableId="1848906244">
    <w:abstractNumId w:val="15"/>
  </w:num>
  <w:num w:numId="6" w16cid:durableId="1097823186">
    <w:abstractNumId w:val="31"/>
  </w:num>
  <w:num w:numId="7" w16cid:durableId="692804235">
    <w:abstractNumId w:val="2"/>
  </w:num>
  <w:num w:numId="8" w16cid:durableId="1726566390">
    <w:abstractNumId w:val="9"/>
  </w:num>
  <w:num w:numId="9" w16cid:durableId="1678072523">
    <w:abstractNumId w:val="25"/>
  </w:num>
  <w:num w:numId="10" w16cid:durableId="657853467">
    <w:abstractNumId w:val="28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30"/>
  </w:num>
  <w:num w:numId="14" w16cid:durableId="1610159056">
    <w:abstractNumId w:val="27"/>
  </w:num>
  <w:num w:numId="15" w16cid:durableId="1035691151">
    <w:abstractNumId w:val="21"/>
  </w:num>
  <w:num w:numId="16" w16cid:durableId="1345325102">
    <w:abstractNumId w:val="6"/>
  </w:num>
  <w:num w:numId="17" w16cid:durableId="1939287957">
    <w:abstractNumId w:val="39"/>
  </w:num>
  <w:num w:numId="18" w16cid:durableId="1050766509">
    <w:abstractNumId w:val="5"/>
  </w:num>
  <w:num w:numId="19" w16cid:durableId="2067869038">
    <w:abstractNumId w:val="37"/>
  </w:num>
  <w:num w:numId="20" w16cid:durableId="926382073">
    <w:abstractNumId w:val="32"/>
  </w:num>
  <w:num w:numId="21" w16cid:durableId="175774230">
    <w:abstractNumId w:val="29"/>
  </w:num>
  <w:num w:numId="22" w16cid:durableId="1980959878">
    <w:abstractNumId w:val="0"/>
  </w:num>
  <w:num w:numId="23" w16cid:durableId="853687006">
    <w:abstractNumId w:val="10"/>
  </w:num>
  <w:num w:numId="24" w16cid:durableId="767386865">
    <w:abstractNumId w:val="4"/>
  </w:num>
  <w:num w:numId="25" w16cid:durableId="1604609217">
    <w:abstractNumId w:val="26"/>
  </w:num>
  <w:num w:numId="26" w16cid:durableId="1921407878">
    <w:abstractNumId w:val="17"/>
  </w:num>
  <w:num w:numId="27" w16cid:durableId="1137604831">
    <w:abstractNumId w:val="36"/>
  </w:num>
  <w:num w:numId="28" w16cid:durableId="1843815622">
    <w:abstractNumId w:val="20"/>
  </w:num>
  <w:num w:numId="29" w16cid:durableId="1984578508">
    <w:abstractNumId w:val="18"/>
  </w:num>
  <w:num w:numId="30" w16cid:durableId="1087849804">
    <w:abstractNumId w:val="16"/>
  </w:num>
  <w:num w:numId="31" w16cid:durableId="1535196864">
    <w:abstractNumId w:val="19"/>
  </w:num>
  <w:num w:numId="32" w16cid:durableId="1006328205">
    <w:abstractNumId w:val="35"/>
  </w:num>
  <w:num w:numId="33" w16cid:durableId="2076972064">
    <w:abstractNumId w:val="24"/>
  </w:num>
  <w:num w:numId="34" w16cid:durableId="1405879234">
    <w:abstractNumId w:val="14"/>
  </w:num>
  <w:num w:numId="35" w16cid:durableId="1221095569">
    <w:abstractNumId w:val="33"/>
  </w:num>
  <w:num w:numId="36" w16cid:durableId="759450845">
    <w:abstractNumId w:val="23"/>
  </w:num>
  <w:num w:numId="37" w16cid:durableId="869100768">
    <w:abstractNumId w:val="1"/>
  </w:num>
  <w:num w:numId="38" w16cid:durableId="505630791">
    <w:abstractNumId w:val="12"/>
  </w:num>
  <w:num w:numId="39" w16cid:durableId="1763648156">
    <w:abstractNumId w:val="8"/>
  </w:num>
  <w:num w:numId="40" w16cid:durableId="5446078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12787"/>
    <w:rsid w:val="000263CC"/>
    <w:rsid w:val="0003043D"/>
    <w:rsid w:val="00077679"/>
    <w:rsid w:val="000854B9"/>
    <w:rsid w:val="00085B6A"/>
    <w:rsid w:val="000905B2"/>
    <w:rsid w:val="000B20E3"/>
    <w:rsid w:val="000C2E76"/>
    <w:rsid w:val="000E6E7E"/>
    <w:rsid w:val="000F5057"/>
    <w:rsid w:val="001537E9"/>
    <w:rsid w:val="001803A8"/>
    <w:rsid w:val="001F54EA"/>
    <w:rsid w:val="00246867"/>
    <w:rsid w:val="00290EE2"/>
    <w:rsid w:val="002D330A"/>
    <w:rsid w:val="002D3698"/>
    <w:rsid w:val="002D436B"/>
    <w:rsid w:val="002F25AC"/>
    <w:rsid w:val="00305990"/>
    <w:rsid w:val="00330D2C"/>
    <w:rsid w:val="00370561"/>
    <w:rsid w:val="00376F42"/>
    <w:rsid w:val="003850EC"/>
    <w:rsid w:val="0039693E"/>
    <w:rsid w:val="003970FD"/>
    <w:rsid w:val="0040380D"/>
    <w:rsid w:val="0041197F"/>
    <w:rsid w:val="00423FA0"/>
    <w:rsid w:val="00441477"/>
    <w:rsid w:val="0044264E"/>
    <w:rsid w:val="00447D9B"/>
    <w:rsid w:val="00451A1D"/>
    <w:rsid w:val="00461A7E"/>
    <w:rsid w:val="00487414"/>
    <w:rsid w:val="004935CA"/>
    <w:rsid w:val="004B45E4"/>
    <w:rsid w:val="004D3CC1"/>
    <w:rsid w:val="004D55CB"/>
    <w:rsid w:val="004D7883"/>
    <w:rsid w:val="004D79C8"/>
    <w:rsid w:val="00502501"/>
    <w:rsid w:val="0052185D"/>
    <w:rsid w:val="00535B8B"/>
    <w:rsid w:val="005611F8"/>
    <w:rsid w:val="00567107"/>
    <w:rsid w:val="005A412C"/>
    <w:rsid w:val="005C1604"/>
    <w:rsid w:val="005D4E9F"/>
    <w:rsid w:val="00600DEF"/>
    <w:rsid w:val="00603552"/>
    <w:rsid w:val="006068F5"/>
    <w:rsid w:val="00614D90"/>
    <w:rsid w:val="00623E52"/>
    <w:rsid w:val="00623E9B"/>
    <w:rsid w:val="00640E62"/>
    <w:rsid w:val="0064183D"/>
    <w:rsid w:val="00671F20"/>
    <w:rsid w:val="006D226E"/>
    <w:rsid w:val="006D5B80"/>
    <w:rsid w:val="00712D33"/>
    <w:rsid w:val="00735A13"/>
    <w:rsid w:val="00755F49"/>
    <w:rsid w:val="00756E91"/>
    <w:rsid w:val="0076121C"/>
    <w:rsid w:val="00793BA1"/>
    <w:rsid w:val="007A4C79"/>
    <w:rsid w:val="007E1A12"/>
    <w:rsid w:val="007E5DD9"/>
    <w:rsid w:val="007F1F44"/>
    <w:rsid w:val="00805D1B"/>
    <w:rsid w:val="00814436"/>
    <w:rsid w:val="00847EF6"/>
    <w:rsid w:val="0085353D"/>
    <w:rsid w:val="008613BB"/>
    <w:rsid w:val="00866E71"/>
    <w:rsid w:val="008816E7"/>
    <w:rsid w:val="008B0FD5"/>
    <w:rsid w:val="008E0D92"/>
    <w:rsid w:val="008E1167"/>
    <w:rsid w:val="008F2867"/>
    <w:rsid w:val="009518D7"/>
    <w:rsid w:val="0095714A"/>
    <w:rsid w:val="009861AB"/>
    <w:rsid w:val="00986983"/>
    <w:rsid w:val="00991E5A"/>
    <w:rsid w:val="009C0634"/>
    <w:rsid w:val="00A07BBD"/>
    <w:rsid w:val="00A11A8C"/>
    <w:rsid w:val="00A46EC1"/>
    <w:rsid w:val="00A949FE"/>
    <w:rsid w:val="00AA5980"/>
    <w:rsid w:val="00AB7B62"/>
    <w:rsid w:val="00AE2C6C"/>
    <w:rsid w:val="00AE75F0"/>
    <w:rsid w:val="00B03067"/>
    <w:rsid w:val="00B517BC"/>
    <w:rsid w:val="00B52DD2"/>
    <w:rsid w:val="00BD197D"/>
    <w:rsid w:val="00BD21AF"/>
    <w:rsid w:val="00C019A5"/>
    <w:rsid w:val="00C1010B"/>
    <w:rsid w:val="00C261F2"/>
    <w:rsid w:val="00C4676A"/>
    <w:rsid w:val="00C833B7"/>
    <w:rsid w:val="00D12E17"/>
    <w:rsid w:val="00D21FD1"/>
    <w:rsid w:val="00D269F4"/>
    <w:rsid w:val="00D273D1"/>
    <w:rsid w:val="00D56D5A"/>
    <w:rsid w:val="00D63BE3"/>
    <w:rsid w:val="00D86FE1"/>
    <w:rsid w:val="00D90040"/>
    <w:rsid w:val="00DC7E96"/>
    <w:rsid w:val="00DD169C"/>
    <w:rsid w:val="00DD3D62"/>
    <w:rsid w:val="00DD5544"/>
    <w:rsid w:val="00E02438"/>
    <w:rsid w:val="00E03E24"/>
    <w:rsid w:val="00E5333A"/>
    <w:rsid w:val="00E84A47"/>
    <w:rsid w:val="00EA227F"/>
    <w:rsid w:val="00EB2813"/>
    <w:rsid w:val="00EC4E5D"/>
    <w:rsid w:val="00F04034"/>
    <w:rsid w:val="00F22709"/>
    <w:rsid w:val="00F462FC"/>
    <w:rsid w:val="00F563EA"/>
    <w:rsid w:val="00F74DF4"/>
    <w:rsid w:val="00FE2FD1"/>
    <w:rsid w:val="00FE4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2D33"/>
    <w:pPr>
      <w:spacing w:line="256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 w:line="259" w:lineRule="auto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 w:line="259" w:lineRule="auto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 w:line="259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 w:line="259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 w:line="259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  <w:spacing w:line="259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 w:line="259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spacing w:line="259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1</Pages>
  <Words>351</Words>
  <Characters>2003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victorcajala@outlook.com</cp:lastModifiedBy>
  <cp:revision>49</cp:revision>
  <cp:lastPrinted>2026-02-21T05:03:00Z</cp:lastPrinted>
  <dcterms:created xsi:type="dcterms:W3CDTF">2025-12-03T11:08:00Z</dcterms:created>
  <dcterms:modified xsi:type="dcterms:W3CDTF">2026-06-06T03:31:00Z</dcterms:modified>
</cp:coreProperties>
</file>