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2CE00" w14:textId="77777777" w:rsidR="00774D47" w:rsidRPr="00994080" w:rsidRDefault="00774D47" w:rsidP="00774D47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994080">
        <w:rPr>
          <w:rFonts w:ascii="Arial Rounded MT Bold" w:hAnsi="Arial Rounded MT Bold"/>
          <w:b/>
          <w:bCs/>
        </w:rPr>
        <w:t>REFERENCES</w:t>
      </w:r>
    </w:p>
    <w:p w14:paraId="1F35A607" w14:textId="77777777" w:rsidR="00774D47" w:rsidRPr="00107964" w:rsidRDefault="00774D47" w:rsidP="00774D4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82F0DB8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Aguilar, F., &amp; Cruz, M. (2023). The role of biosafety regulations in Philippine agricultural laboratories. </w:t>
      </w:r>
      <w:r w:rsidRPr="00107964">
        <w:rPr>
          <w:rFonts w:ascii="Bahnschrift" w:hAnsi="Bahnschrift" w:cs="Tahoma"/>
          <w:i/>
          <w:iCs/>
        </w:rPr>
        <w:t>Philippine Journal of Agricultural Sciences, 41</w:t>
      </w:r>
      <w:r w:rsidRPr="00107964">
        <w:rPr>
          <w:rFonts w:ascii="Bahnschrift" w:hAnsi="Bahnschrift" w:cs="Tahoma"/>
          <w:lang w:val="en-US"/>
        </w:rPr>
        <w:t>(1), 78–94.</w:t>
      </w:r>
    </w:p>
    <w:p w14:paraId="702E2801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35C1983D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Anderson, R. (2022). Safety consultations and compliance support systems in laboratory environments: Sustaining uniform adherence to biosafety protocols. </w:t>
      </w:r>
      <w:r w:rsidRPr="00107964">
        <w:rPr>
          <w:rFonts w:ascii="Bahnschrift" w:hAnsi="Bahnschrift" w:cs="Tahoma"/>
          <w:i/>
          <w:iCs/>
          <w:lang w:val="en-US"/>
        </w:rPr>
        <w:t>Frontiers in Bioengineering and Biotechnology, 10</w:t>
      </w:r>
      <w:r w:rsidRPr="00107964">
        <w:rPr>
          <w:rFonts w:ascii="Bahnschrift" w:hAnsi="Bahnschrift" w:cs="Tahoma"/>
          <w:lang w:val="en-US"/>
        </w:rPr>
        <w:t>, 1118506. https://doi.org/10.3389/fbioe.2022.1118506.</w:t>
      </w:r>
    </w:p>
    <w:p w14:paraId="5EFA28F6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3E02462D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Anderson, B., &amp; Clark, R. (2023). The role of SOPs in ensuring biosafety compliance in laboratories. </w:t>
      </w:r>
      <w:r w:rsidRPr="00107964">
        <w:rPr>
          <w:rFonts w:ascii="Bahnschrift" w:hAnsi="Bahnschrift" w:cs="Tahoma"/>
          <w:i/>
          <w:iCs/>
        </w:rPr>
        <w:t>Journal of Occupational Health and Safety, 45</w:t>
      </w:r>
      <w:r w:rsidRPr="00107964">
        <w:rPr>
          <w:rFonts w:ascii="Bahnschrift" w:hAnsi="Bahnschrift" w:cs="Tahoma"/>
          <w:lang w:val="en-US"/>
        </w:rPr>
        <w:t>(1), 78–92.</w:t>
      </w:r>
    </w:p>
    <w:p w14:paraId="784AF9E5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6F61C651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Centers for Disease Control and Prevention. (2022). </w:t>
      </w:r>
      <w:r w:rsidRPr="00107964">
        <w:rPr>
          <w:rFonts w:ascii="Bahnschrift" w:hAnsi="Bahnschrift" w:cs="Tahoma"/>
          <w:i/>
          <w:iCs/>
        </w:rPr>
        <w:t>Biosafety in agricultural laboratories: Best practices and guidelines</w:t>
      </w:r>
      <w:r w:rsidRPr="00107964">
        <w:rPr>
          <w:rFonts w:ascii="Bahnschrift" w:hAnsi="Bahnschrift" w:cs="Tahoma"/>
          <w:lang w:val="en-US"/>
        </w:rPr>
        <w:t>. https://www.cdc.gov/labs/pdf/SF__19_308133-A_BMBL6_00-BOOK-WEB-final-3.pdf</w:t>
      </w:r>
    </w:p>
    <w:p w14:paraId="150202A5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092C391B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Davis, K., &amp; Carter, M. (2021). Public health implications of laboratory biosafety failures: A review. </w:t>
      </w:r>
      <w:r w:rsidRPr="00107964">
        <w:rPr>
          <w:rFonts w:ascii="Bahnschrift" w:hAnsi="Bahnschrift" w:cs="Tahoma"/>
          <w:i/>
          <w:iCs/>
        </w:rPr>
        <w:t>Global Journal of Infectious Diseases, 12</w:t>
      </w:r>
      <w:r w:rsidRPr="00107964">
        <w:rPr>
          <w:rFonts w:ascii="Bahnschrift" w:hAnsi="Bahnschrift" w:cs="Tahoma"/>
          <w:lang w:val="en-US"/>
        </w:rPr>
        <w:t>(4), 213–227.</w:t>
      </w:r>
    </w:p>
    <w:p w14:paraId="00976707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4B581D15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De la Cruz, A., &amp; Santos, M. (2021). Risk assessment strategies in food laboratories. </w:t>
      </w:r>
      <w:r w:rsidRPr="00107964">
        <w:rPr>
          <w:rFonts w:ascii="Bahnschrift" w:hAnsi="Bahnschrift" w:cs="Tahoma"/>
          <w:i/>
          <w:iCs/>
        </w:rPr>
        <w:t>Journal of Food Safety and Quality Control, 10</w:t>
      </w:r>
      <w:r w:rsidRPr="00107964">
        <w:rPr>
          <w:rFonts w:ascii="Bahnschrift" w:hAnsi="Bahnschrift" w:cs="Tahoma"/>
          <w:lang w:val="en-US"/>
        </w:rPr>
        <w:t>(3), 134–150.</w:t>
      </w:r>
    </w:p>
    <w:p w14:paraId="0E60888C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2863209A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Department of Agriculture. (2021). Memorandum No. 2021-015: </w:t>
      </w:r>
      <w:r w:rsidRPr="00107964">
        <w:rPr>
          <w:rFonts w:ascii="Bahnschrift" w:hAnsi="Bahnschrift" w:cs="Tahoma"/>
          <w:i/>
          <w:iCs/>
        </w:rPr>
        <w:t>Guidelines on biosafety and biosecurity compliance in agricultural laboratories.</w:t>
      </w:r>
    </w:p>
    <w:p w14:paraId="7DE68131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0EF73F6C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Department of Agriculture. (2023). </w:t>
      </w:r>
      <w:r w:rsidRPr="00107964">
        <w:rPr>
          <w:rFonts w:ascii="Bahnschrift" w:hAnsi="Bahnschrift" w:cs="Tahoma"/>
          <w:i/>
          <w:iCs/>
          <w:lang w:val="en-US"/>
        </w:rPr>
        <w:t>Agriculture and Fisheries Modernization Plan (AFMP) 2023–2028</w:t>
      </w:r>
      <w:r w:rsidRPr="00107964">
        <w:rPr>
          <w:rFonts w:ascii="Bahnschrift" w:hAnsi="Bahnschrift" w:cs="Tahoma"/>
          <w:lang w:val="en-US"/>
        </w:rPr>
        <w:t xml:space="preserve">. Bureau of Agricultural Research. </w:t>
      </w:r>
      <w:hyperlink r:id="rId7" w:history="1">
        <w:r w:rsidRPr="00107964">
          <w:rPr>
            <w:rStyle w:val="Hyperlink"/>
            <w:rFonts w:ascii="Bahnschrift" w:hAnsi="Bahnschrift" w:cs="Tahoma"/>
            <w:color w:val="auto"/>
            <w:u w:val="none"/>
            <w:lang w:val="en-US"/>
          </w:rPr>
          <w:t>https://bafe.gov.ph/wp-content/uploads/2025/03/Copy-of-FINAL-NAFMP-2023-2028-010324.pdf</w:t>
        </w:r>
      </w:hyperlink>
    </w:p>
    <w:p w14:paraId="3E48C736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strike/>
          <w:lang w:val="en-US"/>
        </w:rPr>
      </w:pPr>
    </w:p>
    <w:p w14:paraId="090F2635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Department of Agriculture – Region IV-A. (2023). Integrated Laboratories Division programs and compliance reports. </w:t>
      </w:r>
      <w:hyperlink r:id="rId8" w:history="1">
        <w:r w:rsidRPr="00107964">
          <w:rPr>
            <w:rStyle w:val="Hyperlink"/>
            <w:rFonts w:ascii="Bahnschrift" w:hAnsi="Bahnschrift" w:cs="Tahoma"/>
            <w:color w:val="auto"/>
            <w:u w:val="none"/>
            <w:lang w:val="en-US"/>
          </w:rPr>
          <w:t>https://www.da.gov.ph/region4a-laboratories</w:t>
        </w:r>
      </w:hyperlink>
    </w:p>
    <w:p w14:paraId="25396C96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27078C36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Department of Health. (2022). </w:t>
      </w:r>
      <w:r w:rsidRPr="00107964">
        <w:rPr>
          <w:rFonts w:ascii="Bahnschrift" w:hAnsi="Bahnschrift" w:cs="Tahoma"/>
          <w:i/>
          <w:iCs/>
        </w:rPr>
        <w:t>National guidelines on biosafety practices in diagnostic and research laboratories</w:t>
      </w:r>
      <w:r w:rsidRPr="00107964">
        <w:rPr>
          <w:rFonts w:ascii="Bahnschrift" w:hAnsi="Bahnschrift" w:cs="Tahoma"/>
          <w:lang w:val="en-US"/>
        </w:rPr>
        <w:t>.</w:t>
      </w:r>
    </w:p>
    <w:p w14:paraId="679AC5A9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379DE0A0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Global Health Security Agenda. (2022). </w:t>
      </w:r>
      <w:r w:rsidRPr="00107964">
        <w:rPr>
          <w:rFonts w:ascii="Bahnschrift" w:hAnsi="Bahnschrift" w:cs="Tahoma"/>
          <w:i/>
          <w:iCs/>
        </w:rPr>
        <w:t>Strengthening biosafety in global health security initiatives</w:t>
      </w:r>
      <w:r w:rsidRPr="00107964">
        <w:rPr>
          <w:rFonts w:ascii="Bahnschrift" w:hAnsi="Bahnschrift" w:cs="Tahoma"/>
          <w:lang w:val="en-US"/>
        </w:rPr>
        <w:t>.</w:t>
      </w:r>
    </w:p>
    <w:p w14:paraId="3EBF3A1C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492511CC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Gonzalez, R., Martinez, J., &amp; Lopez, F. (2021). Biosafety culture in research laboratories: Challenges and strategies. </w:t>
      </w:r>
      <w:r w:rsidRPr="00107964">
        <w:rPr>
          <w:rFonts w:ascii="Bahnschrift" w:hAnsi="Bahnschrift" w:cs="Tahoma"/>
          <w:i/>
          <w:iCs/>
        </w:rPr>
        <w:t>Safety Science, 98</w:t>
      </w:r>
      <w:r w:rsidRPr="00107964">
        <w:rPr>
          <w:rFonts w:ascii="Bahnschrift" w:hAnsi="Bahnschrift" w:cs="Tahoma"/>
          <w:lang w:val="en-US"/>
        </w:rPr>
        <w:t>(2), 145–159.</w:t>
      </w:r>
    </w:p>
    <w:p w14:paraId="2E289FD8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6788E80D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Gonzalez, L., Ramirez, J., &amp; Patel, S. (2022). Structured biosafety training and workplace safety culture: Reducing violations through cohesive compliance programs. </w:t>
      </w:r>
      <w:r w:rsidRPr="00107964">
        <w:rPr>
          <w:rFonts w:ascii="Bahnschrift" w:hAnsi="Bahnschrift" w:cs="Tahoma"/>
          <w:i/>
          <w:iCs/>
          <w:lang w:val="en-US"/>
        </w:rPr>
        <w:t>Journal of Biosafety and Biosecurity, 4</w:t>
      </w:r>
      <w:r w:rsidRPr="00107964">
        <w:rPr>
          <w:rFonts w:ascii="Bahnschrift" w:hAnsi="Bahnschrift" w:cs="Tahoma"/>
          <w:lang w:val="en-US"/>
        </w:rPr>
        <w:t>(2), 101–110. https://doi.org/10.1016/j.jobb.2022.03.005</w:t>
      </w:r>
    </w:p>
    <w:p w14:paraId="0A3B189D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182BE301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Harrison, S. (2022). Administrative strategies for enforcing biosafety compliance. </w:t>
      </w:r>
      <w:r w:rsidRPr="00107964">
        <w:rPr>
          <w:rFonts w:ascii="Bahnschrift" w:hAnsi="Bahnschrift" w:cs="Tahoma"/>
          <w:i/>
          <w:iCs/>
        </w:rPr>
        <w:t>Journal of Government Policy and Safety, 29</w:t>
      </w:r>
      <w:r w:rsidRPr="00107964">
        <w:rPr>
          <w:rFonts w:ascii="Bahnschrift" w:hAnsi="Bahnschrift" w:cs="Tahoma"/>
          <w:lang w:val="en-US"/>
        </w:rPr>
        <w:t>(1), 34–50.</w:t>
      </w:r>
    </w:p>
    <w:p w14:paraId="66B05808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162E0D5D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lastRenderedPageBreak/>
        <w:t xml:space="preserve">Johnson, L., &amp; Lee, C. (2021). Biosafety training and its impact on laboratory safety compliance. </w:t>
      </w:r>
      <w:r w:rsidRPr="00107964">
        <w:rPr>
          <w:rFonts w:ascii="Bahnschrift" w:hAnsi="Bahnschrift" w:cs="Tahoma"/>
          <w:i/>
          <w:iCs/>
        </w:rPr>
        <w:t>Journal of Applied Microbiology, 28</w:t>
      </w:r>
      <w:r w:rsidRPr="00107964">
        <w:rPr>
          <w:rFonts w:ascii="Bahnschrift" w:hAnsi="Bahnschrift" w:cs="Tahoma"/>
          <w:lang w:val="en-US"/>
        </w:rPr>
        <w:t>(1), 99–114.</w:t>
      </w:r>
    </w:p>
    <w:p w14:paraId="7FC3762F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0899DB45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Lopez, M., &amp; Rivera, G. (2023). Resource allocation challenges in Philippine diagnostic laboratories. </w:t>
      </w:r>
      <w:r w:rsidRPr="00107964">
        <w:rPr>
          <w:rFonts w:ascii="Bahnschrift" w:hAnsi="Bahnschrift" w:cs="Tahoma"/>
          <w:i/>
          <w:iCs/>
        </w:rPr>
        <w:t>Philippine Journal of Public Health, 37</w:t>
      </w:r>
      <w:r w:rsidRPr="00107964">
        <w:rPr>
          <w:rFonts w:ascii="Bahnschrift" w:hAnsi="Bahnschrift" w:cs="Tahoma"/>
          <w:lang w:val="en-US"/>
        </w:rPr>
        <w:t>(1), 65–78.</w:t>
      </w:r>
    </w:p>
    <w:p w14:paraId="117D92A7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196FC712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National Biosafety Authority. (2021). Philippine National Laboratory Biosafety and Biosecurity Action Plan (2021–2025): </w:t>
      </w:r>
      <w:r w:rsidRPr="00107964">
        <w:rPr>
          <w:rFonts w:ascii="Bahnschrift" w:hAnsi="Bahnschrift" w:cs="Tahoma"/>
          <w:i/>
          <w:iCs/>
          <w:lang w:val="en-US"/>
        </w:rPr>
        <w:t>Strategic measures for biosafety compliance in Philippine laboratories</w:t>
      </w:r>
      <w:r w:rsidRPr="00107964">
        <w:rPr>
          <w:rFonts w:ascii="Bahnschrift" w:hAnsi="Bahnschrift" w:cs="Tahoma"/>
          <w:lang w:val="en-US"/>
        </w:rPr>
        <w:t>.</w:t>
      </w:r>
    </w:p>
    <w:p w14:paraId="7034AC11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2FBA00A9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Nelson, R. (2022). Emerging biosecurity threats and the need for enhanced safety measures in laboratories. </w:t>
      </w:r>
      <w:r w:rsidRPr="00107964">
        <w:rPr>
          <w:rFonts w:ascii="Bahnschrift" w:hAnsi="Bahnschrift" w:cs="Tahoma"/>
          <w:i/>
          <w:iCs/>
        </w:rPr>
        <w:t>Biosecurity Journal, 14</w:t>
      </w:r>
      <w:r w:rsidRPr="00107964">
        <w:rPr>
          <w:rFonts w:ascii="Bahnschrift" w:hAnsi="Bahnschrift" w:cs="Tahoma"/>
          <w:lang w:val="en-US"/>
        </w:rPr>
        <w:t>(1), 20–37.</w:t>
      </w:r>
    </w:p>
    <w:p w14:paraId="0DB8303C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6E1F234B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Ramirez, M., Santos, R., &amp; Lee, P. (2023). Fostering biosafety culture in diagnostic laboratories: Training, compliance, and institutional support. </w:t>
      </w:r>
      <w:r w:rsidRPr="00107964">
        <w:rPr>
          <w:rFonts w:ascii="Bahnschrift" w:hAnsi="Bahnschrift" w:cs="Tahoma"/>
          <w:i/>
          <w:iCs/>
          <w:lang w:val="en-US"/>
        </w:rPr>
        <w:t>Journal of Biosafety and Biosecurity, 5</w:t>
      </w:r>
      <w:r w:rsidRPr="00107964">
        <w:rPr>
          <w:rFonts w:ascii="Bahnschrift" w:hAnsi="Bahnschrift" w:cs="Tahoma"/>
          <w:lang w:val="en-US"/>
        </w:rPr>
        <w:t>(2), 87–96. https://doi.org/10.1016/j.jobb.2023.05.004</w:t>
      </w:r>
    </w:p>
    <w:p w14:paraId="3B99E89C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1A7D85F6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>Ramirez, M., Torres, J., &amp; Delgado, A. (2022). Periodic biosafety surveys in biomedical and clinical laboratories: Early detection of non</w:t>
      </w:r>
      <w:r w:rsidRPr="00107964">
        <w:rPr>
          <w:rFonts w:ascii="Cambria Math" w:hAnsi="Cambria Math" w:cs="Cambria Math"/>
          <w:lang w:val="en-US"/>
        </w:rPr>
        <w:t>‑</w:t>
      </w:r>
      <w:r w:rsidRPr="00107964">
        <w:rPr>
          <w:rFonts w:ascii="Bahnschrift" w:hAnsi="Bahnschrift" w:cs="Tahoma"/>
          <w:lang w:val="en-US"/>
        </w:rPr>
        <w:t xml:space="preserve">compliance and corrective measures. </w:t>
      </w:r>
      <w:r w:rsidRPr="00107964">
        <w:rPr>
          <w:rFonts w:ascii="Bahnschrift" w:hAnsi="Bahnschrift" w:cs="Tahoma"/>
          <w:i/>
          <w:iCs/>
          <w:lang w:val="en-US"/>
        </w:rPr>
        <w:t>Journal of Biosafety and Biosecurity, 4</w:t>
      </w:r>
      <w:r w:rsidRPr="00107964">
        <w:rPr>
          <w:rFonts w:ascii="Bahnschrift" w:hAnsi="Bahnschrift" w:cs="Tahoma"/>
          <w:lang w:val="en-US"/>
        </w:rPr>
        <w:t>(3), 145</w:t>
      </w:r>
      <w:r w:rsidRPr="00107964">
        <w:rPr>
          <w:rFonts w:ascii="Bahnschrift" w:hAnsi="Bahnschrift" w:cs="Bahnschrift"/>
          <w:lang w:val="en-US"/>
        </w:rPr>
        <w:t>–</w:t>
      </w:r>
      <w:r w:rsidRPr="00107964">
        <w:rPr>
          <w:rFonts w:ascii="Bahnschrift" w:hAnsi="Bahnschrift" w:cs="Tahoma"/>
          <w:lang w:val="en-US"/>
        </w:rPr>
        <w:t xml:space="preserve">153. </w:t>
      </w:r>
      <w:hyperlink r:id="rId9" w:history="1">
        <w:r w:rsidRPr="00107964">
          <w:rPr>
            <w:rStyle w:val="Hyperlink"/>
            <w:rFonts w:ascii="Bahnschrift" w:hAnsi="Bahnschrift" w:cs="Tahoma"/>
            <w:color w:val="auto"/>
            <w:u w:val="none"/>
            <w:lang w:val="en-US"/>
          </w:rPr>
          <w:t>https://doi.org/10.1016/j.jobb.2022.07.003</w:t>
        </w:r>
      </w:hyperlink>
    </w:p>
    <w:p w14:paraId="5C88E750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0B1EC3B4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Reyes, J. P., Dela Cruz, M., &amp; Santos, R. (2022). Biosafety measures in clinical laboratories: Challenges and compliance. </w:t>
      </w:r>
      <w:r w:rsidRPr="00107964">
        <w:rPr>
          <w:rFonts w:ascii="Bahnschrift" w:hAnsi="Bahnschrift" w:cs="Tahoma"/>
          <w:i/>
          <w:iCs/>
        </w:rPr>
        <w:t>Philippine Journal of Laboratory Safety, 15</w:t>
      </w:r>
      <w:r w:rsidRPr="00107964">
        <w:rPr>
          <w:rFonts w:ascii="Bahnschrift" w:hAnsi="Bahnschrift" w:cs="Tahoma"/>
          <w:lang w:val="en-US"/>
        </w:rPr>
        <w:t>(2), 78–92.</w:t>
      </w:r>
    </w:p>
    <w:p w14:paraId="3646897D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4B15439F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Rodriguez, A., &amp; Brown, K. (2023). Comparative analysis of biosafety policies: International best practices. </w:t>
      </w:r>
      <w:r w:rsidRPr="00107964">
        <w:rPr>
          <w:rFonts w:ascii="Bahnschrift" w:hAnsi="Bahnschrift" w:cs="Tahoma"/>
          <w:i/>
          <w:iCs/>
        </w:rPr>
        <w:t>Journal of International Health Policy, 19</w:t>
      </w:r>
      <w:r w:rsidRPr="00107964">
        <w:rPr>
          <w:rFonts w:ascii="Bahnschrift" w:hAnsi="Bahnschrift" w:cs="Tahoma"/>
          <w:lang w:val="en-US"/>
        </w:rPr>
        <w:t>(2), 76–89.</w:t>
      </w:r>
    </w:p>
    <w:p w14:paraId="09D001FB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0BE8BE26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Smith, J., Patel, R., &amp; Zhang, Y. (2023). The role of risk assessment in laboratory biosafety management. </w:t>
      </w:r>
      <w:r w:rsidRPr="00107964">
        <w:rPr>
          <w:rFonts w:ascii="Bahnschrift" w:hAnsi="Bahnschrift" w:cs="Tahoma"/>
          <w:i/>
          <w:iCs/>
        </w:rPr>
        <w:t>Risk Analysis Journal, 25</w:t>
      </w:r>
      <w:r w:rsidRPr="00107964">
        <w:rPr>
          <w:rFonts w:ascii="Bahnschrift" w:hAnsi="Bahnschrift" w:cs="Tahoma"/>
          <w:lang w:val="en-US"/>
        </w:rPr>
        <w:t>(1), 134–150.</w:t>
      </w:r>
    </w:p>
    <w:p w14:paraId="7AD3619D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1A54AB84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Tolentino, J. (2021). </w:t>
      </w:r>
      <w:r w:rsidRPr="00107964">
        <w:rPr>
          <w:rFonts w:ascii="Bahnschrift" w:hAnsi="Bahnschrift" w:cs="Tahoma"/>
          <w:i/>
          <w:iCs/>
        </w:rPr>
        <w:t>Knowledge, attitudes, and practices on biosafety among medical technologists in the Philippines</w:t>
      </w:r>
      <w:r w:rsidRPr="00107964">
        <w:rPr>
          <w:rFonts w:ascii="Bahnschrift" w:hAnsi="Bahnschrift" w:cs="Tahoma"/>
          <w:lang w:val="en-US"/>
        </w:rPr>
        <w:t xml:space="preserve"> [Unpublished master's thesis]. University of Santo Tomas.</w:t>
      </w:r>
    </w:p>
    <w:p w14:paraId="3D449496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0B0509B9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White, J., &amp; Green, L. (2022). Routine biosafety audits and structured compliance inspections: Correlates of laboratory safety adherence. </w:t>
      </w:r>
      <w:r w:rsidRPr="00107964">
        <w:rPr>
          <w:rFonts w:ascii="Bahnschrift" w:hAnsi="Bahnschrift" w:cs="Tahoma"/>
          <w:i/>
          <w:iCs/>
          <w:lang w:val="en-US"/>
        </w:rPr>
        <w:t>Frontiers in Bioengineering and Biotechnology, 10</w:t>
      </w:r>
      <w:r w:rsidRPr="00107964">
        <w:rPr>
          <w:rFonts w:ascii="Bahnschrift" w:hAnsi="Bahnschrift" w:cs="Tahoma"/>
          <w:lang w:val="en-US"/>
        </w:rPr>
        <w:t>, 945612. https://doi.org/10.3389/fbioe.2022.945612.</w:t>
      </w:r>
    </w:p>
    <w:p w14:paraId="5B52BFC5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1093BFF0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Williams, T., &amp; Scott, H. (2021). Effective biosafety communication strategies: Enhancing compliance through structured awareness programs. </w:t>
      </w:r>
      <w:r w:rsidRPr="00107964">
        <w:rPr>
          <w:rFonts w:ascii="Bahnschrift" w:hAnsi="Bahnschrift" w:cs="Tahoma"/>
          <w:i/>
          <w:iCs/>
          <w:lang w:val="en-US"/>
        </w:rPr>
        <w:t>Journal of Biosafety and Biosecurity,</w:t>
      </w:r>
      <w:r w:rsidRPr="00107964">
        <w:rPr>
          <w:rFonts w:ascii="Bahnschrift" w:hAnsi="Bahnschrift" w:cs="Tahoma"/>
          <w:lang w:val="en-US"/>
        </w:rPr>
        <w:t xml:space="preserve"> </w:t>
      </w:r>
      <w:r w:rsidRPr="00107964">
        <w:rPr>
          <w:rFonts w:ascii="Bahnschrift" w:hAnsi="Bahnschrift" w:cs="Tahoma"/>
          <w:i/>
          <w:iCs/>
          <w:lang w:val="en-US"/>
        </w:rPr>
        <w:t>3</w:t>
      </w:r>
      <w:r w:rsidRPr="00107964">
        <w:rPr>
          <w:rFonts w:ascii="Bahnschrift" w:hAnsi="Bahnschrift" w:cs="Tahoma"/>
          <w:lang w:val="en-US"/>
        </w:rPr>
        <w:t>(4), 201–209. https://doi.org/10.1016/j.jobb.2021.09.002.</w:t>
      </w:r>
    </w:p>
    <w:p w14:paraId="0F3705B9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4CE35223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Williams, T., &amp; Scott, P. (2023). Effective biosafety communication strategies: Reducing laboratory errors and improving safety compliance. </w:t>
      </w:r>
      <w:r w:rsidRPr="00107964">
        <w:rPr>
          <w:rFonts w:ascii="Bahnschrift" w:hAnsi="Bahnschrift" w:cs="Tahoma"/>
          <w:i/>
          <w:iCs/>
        </w:rPr>
        <w:t>Journal of Workplace Safety, 29</w:t>
      </w:r>
      <w:r w:rsidRPr="00107964">
        <w:rPr>
          <w:rFonts w:ascii="Bahnschrift" w:hAnsi="Bahnschrift" w:cs="Tahoma"/>
          <w:lang w:val="en-US"/>
        </w:rPr>
        <w:t>(4), 90–108.</w:t>
      </w:r>
    </w:p>
    <w:p w14:paraId="47D2F0F1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02721A6E" w14:textId="77777777" w:rsidR="00774D47" w:rsidRPr="00107964" w:rsidRDefault="00774D47" w:rsidP="00774D47">
      <w:pPr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  <w:r w:rsidRPr="00107964">
        <w:rPr>
          <w:rFonts w:ascii="Bahnschrift" w:hAnsi="Bahnschrift" w:cs="Tahoma"/>
          <w:lang w:val="en-US"/>
        </w:rPr>
        <w:t xml:space="preserve">World Health Organization. (2021). </w:t>
      </w:r>
      <w:r w:rsidRPr="00107964">
        <w:rPr>
          <w:rFonts w:ascii="Bahnschrift" w:hAnsi="Bahnschrift" w:cs="Tahoma"/>
          <w:i/>
          <w:iCs/>
        </w:rPr>
        <w:t>Laboratory biosafety manual</w:t>
      </w:r>
      <w:r w:rsidRPr="00107964">
        <w:rPr>
          <w:rFonts w:ascii="Bahnschrift" w:hAnsi="Bahnschrift" w:cs="Tahoma"/>
          <w:lang w:val="en-US"/>
        </w:rPr>
        <w:t xml:space="preserve"> (4th ed.). https://www.who.int/publications/i/item/9789240011311</w:t>
      </w:r>
    </w:p>
    <w:p w14:paraId="6E6CAF5F" w14:textId="77777777" w:rsidR="00774D47" w:rsidRPr="00107964" w:rsidRDefault="00774D47" w:rsidP="00774D47">
      <w:pPr>
        <w:suppressLineNumbers/>
        <w:spacing w:after="0" w:line="240" w:lineRule="auto"/>
        <w:ind w:left="720" w:hanging="720"/>
        <w:jc w:val="both"/>
        <w:rPr>
          <w:rFonts w:ascii="Bahnschrift" w:hAnsi="Bahnschrift" w:cs="Tahoma"/>
          <w:lang w:val="en-US"/>
        </w:rPr>
      </w:pPr>
    </w:p>
    <w:p w14:paraId="5A90BF4E" w14:textId="77777777" w:rsidR="00774D47" w:rsidRPr="00107964" w:rsidRDefault="00774D47" w:rsidP="00774D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07964">
        <w:rPr>
          <w:rFonts w:ascii="Bahnschrift" w:hAnsi="Bahnschrift" w:cs="Tahoma"/>
        </w:rPr>
        <w:t xml:space="preserve">World Health Organization. (2021). </w:t>
      </w:r>
      <w:r w:rsidRPr="00107964">
        <w:rPr>
          <w:rFonts w:ascii="Bahnschrift" w:hAnsi="Bahnschrift" w:cs="Tahoma"/>
          <w:i/>
          <w:iCs/>
        </w:rPr>
        <w:t>Biosafety and biosecurity guidelines for laboratory safety</w:t>
      </w:r>
      <w:r w:rsidRPr="00107964">
        <w:rPr>
          <w:rFonts w:ascii="Bahnschrift" w:hAnsi="Bahnschrift" w:cs="Tahoma"/>
        </w:rPr>
        <w:t>. https://iris.who.int/bitstreams/20663d47-810a-4e7f-8249-a2f1069abf12/download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10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ACFA70" w14:textId="77777777" w:rsidR="001E5D0B" w:rsidRDefault="001E5D0B" w:rsidP="00290EE2">
      <w:pPr>
        <w:spacing w:after="0" w:line="240" w:lineRule="auto"/>
      </w:pPr>
      <w:r>
        <w:separator/>
      </w:r>
    </w:p>
  </w:endnote>
  <w:endnote w:type="continuationSeparator" w:id="0">
    <w:p w14:paraId="495CA9E0" w14:textId="77777777" w:rsidR="001E5D0B" w:rsidRDefault="001E5D0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8481EC" w14:textId="77777777" w:rsidR="001E5D0B" w:rsidRDefault="001E5D0B" w:rsidP="00290EE2">
      <w:pPr>
        <w:spacing w:after="0" w:line="240" w:lineRule="auto"/>
      </w:pPr>
      <w:r>
        <w:separator/>
      </w:r>
    </w:p>
  </w:footnote>
  <w:footnote w:type="continuationSeparator" w:id="0">
    <w:p w14:paraId="5F50F182" w14:textId="77777777" w:rsidR="001E5D0B" w:rsidRDefault="001E5D0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957A8"/>
    <w:rsid w:val="001E5D0B"/>
    <w:rsid w:val="001F54EA"/>
    <w:rsid w:val="001F5BD9"/>
    <w:rsid w:val="00211740"/>
    <w:rsid w:val="00222ABA"/>
    <w:rsid w:val="00246867"/>
    <w:rsid w:val="00290EE2"/>
    <w:rsid w:val="00297A83"/>
    <w:rsid w:val="002D0592"/>
    <w:rsid w:val="002D3698"/>
    <w:rsid w:val="00330D2C"/>
    <w:rsid w:val="00370561"/>
    <w:rsid w:val="003970FD"/>
    <w:rsid w:val="003C0253"/>
    <w:rsid w:val="003C1C37"/>
    <w:rsid w:val="00402C43"/>
    <w:rsid w:val="0044264E"/>
    <w:rsid w:val="00451A1D"/>
    <w:rsid w:val="004662CE"/>
    <w:rsid w:val="00485B27"/>
    <w:rsid w:val="00487414"/>
    <w:rsid w:val="004B00A8"/>
    <w:rsid w:val="00513D4A"/>
    <w:rsid w:val="005611F8"/>
    <w:rsid w:val="00567107"/>
    <w:rsid w:val="005B5DD9"/>
    <w:rsid w:val="005C1604"/>
    <w:rsid w:val="005D4E9F"/>
    <w:rsid w:val="005E50C0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74D47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44CF0"/>
    <w:rsid w:val="00A50563"/>
    <w:rsid w:val="00A819D9"/>
    <w:rsid w:val="00A949FE"/>
    <w:rsid w:val="00A94BB2"/>
    <w:rsid w:val="00AB2C26"/>
    <w:rsid w:val="00AE2C6C"/>
    <w:rsid w:val="00AE71DE"/>
    <w:rsid w:val="00AE75F0"/>
    <w:rsid w:val="00B3100F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70538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84A20"/>
    <w:rsid w:val="00FC4AA6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4D47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774D4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a.gov.ph/region4a-laboratorie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afe.gov.ph/wp-content/uploads/2025/03/Copy-of-FINAL-NAFMP-2023-2028-010324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j.jobb.2022.07.003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3</Pages>
  <Words>715</Words>
  <Characters>4683</Characters>
  <Application>Microsoft Office Word</Application>
  <DocSecurity>0</DocSecurity>
  <Lines>137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 Cajala</cp:lastModifiedBy>
  <cp:revision>41</cp:revision>
  <cp:lastPrinted>2026-02-21T05:03:00Z</cp:lastPrinted>
  <dcterms:created xsi:type="dcterms:W3CDTF">2025-12-03T11:08:00Z</dcterms:created>
  <dcterms:modified xsi:type="dcterms:W3CDTF">2026-06-21T12:26:00Z</dcterms:modified>
</cp:coreProperties>
</file>