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D506F" w14:textId="77777777" w:rsidR="00AB5442" w:rsidRPr="00744C59" w:rsidRDefault="00AB5442" w:rsidP="00AB5442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44C59">
        <w:rPr>
          <w:rFonts w:ascii="Arial Rounded MT Bold" w:hAnsi="Arial Rounded MT Bold"/>
          <w:b/>
          <w:bCs/>
        </w:rPr>
        <w:t>REFERENCES</w:t>
      </w:r>
    </w:p>
    <w:p w14:paraId="77A3A87C" w14:textId="77777777" w:rsidR="00AB5442" w:rsidRPr="00744C59" w:rsidRDefault="00AB5442" w:rsidP="00AB5442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C83880B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>The Boy Scouts of America</w:t>
      </w:r>
      <w:r>
        <w:rPr>
          <w:rFonts w:ascii="Bahnschrift" w:hAnsi="Bahnschrift"/>
        </w:rPr>
        <w:t xml:space="preserve"> [BSA].</w:t>
      </w:r>
      <w:r w:rsidRPr="00744C59">
        <w:rPr>
          <w:rFonts w:ascii="Bahnschrift" w:hAnsi="Bahnschrift"/>
        </w:rPr>
        <w:t xml:space="preserve"> (BSA, 2018). </w:t>
      </w:r>
      <w:r w:rsidRPr="00744C59">
        <w:rPr>
          <w:rFonts w:ascii="Bahnschrift" w:hAnsi="Bahnschrift"/>
          <w:i/>
          <w:iCs/>
        </w:rPr>
        <w:t>2018 annual report</w:t>
      </w:r>
      <w:r w:rsidRPr="00744C59">
        <w:rPr>
          <w:rFonts w:ascii="Bahnschrift" w:hAnsi="Bahnschrift"/>
        </w:rPr>
        <w:t xml:space="preserve">. https://ar2018.scouting.org/wp-content/uploads/2019/05/BSA-2018-AnnualReport_1.pdf </w:t>
      </w:r>
    </w:p>
    <w:p w14:paraId="3D06F686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2C3511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Ali, H., &amp; Ahmad, R. (2020). Mobile learning applications and youth skill development: A review. Journal of Educational Technology Development. </w:t>
      </w:r>
      <w:r w:rsidRPr="00744C59">
        <w:rPr>
          <w:rFonts w:ascii="Bahnschrift" w:hAnsi="Bahnschrift"/>
          <w:i/>
          <w:iCs/>
        </w:rPr>
        <w:t>Sustainability 2023, 15</w:t>
      </w:r>
      <w:r w:rsidRPr="00744C59">
        <w:rPr>
          <w:rFonts w:ascii="Bahnschrift" w:hAnsi="Bahnschrift"/>
        </w:rPr>
        <w:t xml:space="preserve">(18), 13566; https://doi.org/10.3390/su151813566 </w:t>
      </w:r>
    </w:p>
    <w:p w14:paraId="6DFCA477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3E5A86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Garcia, L., Torres, J., &amp; Rivera, A. (2022). Gamification and engagement in extracurricular youth programs: The role of mobile applications. Youth Development Review. February 2021. </w:t>
      </w:r>
      <w:r w:rsidRPr="00744C59">
        <w:rPr>
          <w:rFonts w:ascii="Bahnschrift" w:hAnsi="Bahnschrift"/>
          <w:i/>
          <w:iCs/>
        </w:rPr>
        <w:t>Journal of Further and Higher Education 45</w:t>
      </w:r>
      <w:r w:rsidRPr="00744C59">
        <w:rPr>
          <w:rFonts w:ascii="Bahnschrift" w:hAnsi="Bahnschrift"/>
        </w:rPr>
        <w:t xml:space="preserve">(4):1-14 DOI:  10.1080/0309877X.2021.1875201 License CC BY-NC-ND 4.0 </w:t>
      </w:r>
    </w:p>
    <w:p w14:paraId="432392BB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C0F7C9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44C59">
        <w:rPr>
          <w:rFonts w:ascii="Bahnschrift" w:hAnsi="Bahnschrift"/>
        </w:rPr>
        <w:t>Inukollu</w:t>
      </w:r>
      <w:proofErr w:type="spellEnd"/>
      <w:r w:rsidRPr="00744C59">
        <w:rPr>
          <w:rFonts w:ascii="Bahnschrift" w:hAnsi="Bahnschrift"/>
        </w:rPr>
        <w:t xml:space="preserve"> V. et al. (2013). Factors Influencing quality of Mobile Apps: Role of Mobile App Development Life Cycle. October 2014. </w:t>
      </w:r>
      <w:r w:rsidRPr="00744C59">
        <w:rPr>
          <w:rFonts w:ascii="Bahnschrift" w:hAnsi="Bahnschrift"/>
          <w:i/>
          <w:iCs/>
        </w:rPr>
        <w:t>International Journal of Software Engineering &amp; Applications 5</w:t>
      </w:r>
      <w:r w:rsidRPr="00744C59">
        <w:rPr>
          <w:rFonts w:ascii="Bahnschrift" w:hAnsi="Bahnschrift"/>
        </w:rPr>
        <w:t>(5) DOI:  10.5121/ijsea.2014.5502</w:t>
      </w:r>
    </w:p>
    <w:p w14:paraId="73EEAA6A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0CA0E4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Lampropoulos, G., &amp; Sidiropoulos, S. (2022). Impact of gamification on students' learning outcomes and academic performance: A longitudinal study comparing online, traditional, and gamified learning. </w:t>
      </w:r>
      <w:r w:rsidRPr="00744C59">
        <w:rPr>
          <w:rFonts w:ascii="Bahnschrift" w:hAnsi="Bahnschrift"/>
          <w:i/>
          <w:iCs/>
        </w:rPr>
        <w:t>Education Sciences, 14</w:t>
      </w:r>
      <w:r w:rsidRPr="00744C59">
        <w:rPr>
          <w:rFonts w:ascii="Bahnschrift" w:hAnsi="Bahnschrift"/>
        </w:rPr>
        <w:t xml:space="preserve">(4), 367. </w:t>
      </w:r>
      <w:hyperlink r:id="rId7" w:history="1">
        <w:r w:rsidRPr="00744C59">
          <w:rPr>
            <w:rStyle w:val="Hyperlink"/>
            <w:rFonts w:ascii="Bahnschrift" w:hAnsi="Bahnschrift"/>
            <w:color w:val="auto"/>
            <w:u w:val="none"/>
          </w:rPr>
          <w:t>https://doi.org/10.3390/educsci14040367</w:t>
        </w:r>
      </w:hyperlink>
    </w:p>
    <w:p w14:paraId="4D851262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1F255A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National Youth Commission. (2017). Philippine youth development plan 2017–2022. https://pdp.depdev.gov.ph/wp-content/uploads/2021/02/Pre-publication-copy-Updated-PDP-2017-2022.pdf </w:t>
      </w:r>
    </w:p>
    <w:p w14:paraId="16E8A8D1" w14:textId="77777777" w:rsidR="00AB5442" w:rsidRPr="00744C59" w:rsidRDefault="00AB5442" w:rsidP="00AB5442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6A11976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Nunnally, J. C., &amp; Bernstein, I. H. (1994). </w:t>
      </w:r>
      <w:r w:rsidRPr="00744C59">
        <w:rPr>
          <w:rFonts w:ascii="Bahnschrift" w:hAnsi="Bahnschrift"/>
          <w:i/>
          <w:iCs/>
        </w:rPr>
        <w:t>Psychometric theory</w:t>
      </w:r>
      <w:r w:rsidRPr="00744C59">
        <w:rPr>
          <w:rFonts w:ascii="Bahnschrift" w:hAnsi="Bahnschrift"/>
        </w:rPr>
        <w:t xml:space="preserve"> (3rd ed.). McGraw-Hill.</w:t>
      </w:r>
    </w:p>
    <w:p w14:paraId="1D5AC545" w14:textId="77777777" w:rsidR="00AB5442" w:rsidRPr="00744C59" w:rsidRDefault="00AB5442" w:rsidP="00AB5442">
      <w:pPr>
        <w:pStyle w:val="nova-legacy-e-listitem"/>
        <w:shd w:val="clear" w:color="auto" w:fill="FFFFFF"/>
        <w:spacing w:after="12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744C59">
        <w:rPr>
          <w:rFonts w:ascii="Bahnschrift" w:hAnsi="Bahnschrift"/>
          <w:sz w:val="22"/>
          <w:szCs w:val="22"/>
        </w:rPr>
        <w:t>Urera</w:t>
      </w:r>
      <w:proofErr w:type="spellEnd"/>
      <w:r w:rsidRPr="00744C59">
        <w:rPr>
          <w:rFonts w:ascii="Bahnschrift" w:hAnsi="Bahnschrift"/>
          <w:sz w:val="22"/>
          <w:szCs w:val="22"/>
        </w:rPr>
        <w:t xml:space="preserve">, J. P., &amp; </w:t>
      </w:r>
      <w:proofErr w:type="spellStart"/>
      <w:r w:rsidRPr="00744C59">
        <w:rPr>
          <w:rFonts w:ascii="Bahnschrift" w:hAnsi="Bahnschrift"/>
          <w:sz w:val="22"/>
          <w:szCs w:val="22"/>
        </w:rPr>
        <w:t>Balahadia</w:t>
      </w:r>
      <w:proofErr w:type="spellEnd"/>
      <w:r w:rsidRPr="00744C59">
        <w:rPr>
          <w:rFonts w:ascii="Bahnschrift" w:hAnsi="Bahnschrift"/>
          <w:sz w:val="22"/>
          <w:szCs w:val="22"/>
        </w:rPr>
        <w:t xml:space="preserve">, F. F. (2019). Development and evaluation of scouting mobile application. </w:t>
      </w:r>
      <w:r w:rsidRPr="00744C59">
        <w:rPr>
          <w:rFonts w:ascii="Bahnschrift" w:hAnsi="Bahnschrift"/>
          <w:i/>
          <w:iCs/>
          <w:sz w:val="22"/>
          <w:szCs w:val="22"/>
        </w:rPr>
        <w:t xml:space="preserve">International Journal of Recent Technology and Engineering, 8 </w:t>
      </w:r>
      <w:r w:rsidRPr="00744C59">
        <w:rPr>
          <w:rFonts w:ascii="Bahnschrift" w:hAnsi="Bahnschrift"/>
          <w:sz w:val="22"/>
          <w:szCs w:val="22"/>
        </w:rPr>
        <w:t>(2), 567–571. DOI: </w:t>
      </w:r>
      <w:hyperlink r:id="rId8" w:tgtFrame="_blank" w:history="1">
        <w:r w:rsidRPr="00744C59">
          <w:rPr>
            <w:rStyle w:val="Hyperlink"/>
            <w:rFonts w:ascii="Bahnschrift" w:hAnsi="Bahnschrift"/>
            <w:color w:val="auto"/>
            <w:sz w:val="22"/>
            <w:szCs w:val="22"/>
            <w:u w:val="none"/>
            <w:bdr w:val="none" w:sz="0" w:space="0" w:color="auto" w:frame="1"/>
          </w:rPr>
          <w:t>10.25147/ijcsr.2017.001.1.31</w:t>
        </w:r>
      </w:hyperlink>
    </w:p>
    <w:p w14:paraId="3E4EB638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</w:pPr>
    </w:p>
    <w:p w14:paraId="6CB14720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Johnson, A. M., &amp; Lee, S. T. (2023). Digital transformation and user experience: Evaluating the impact of mobile applications on organizational efficiency. </w:t>
      </w:r>
      <w:r w:rsidRPr="00744C59">
        <w:rPr>
          <w:rFonts w:ascii="Bahnschrift" w:hAnsi="Bahnschrift"/>
          <w:i/>
          <w:iCs/>
        </w:rPr>
        <w:t>Journal of Information Technology and Application, 15</w:t>
      </w:r>
      <w:r w:rsidRPr="00744C59">
        <w:rPr>
          <w:rFonts w:ascii="Bahnschrift" w:hAnsi="Bahnschrift"/>
        </w:rPr>
        <w:t xml:space="preserve">(3), 210–225. </w:t>
      </w:r>
      <w:hyperlink r:id="rId9" w:tgtFrame="_blank" w:history="1">
        <w:r w:rsidRPr="00744C59">
          <w:rPr>
            <w:rStyle w:val="Hyperlink"/>
            <w:rFonts w:ascii="Bahnschrift" w:hAnsi="Bahnschrift"/>
            <w:color w:val="auto"/>
            <w:u w:val="none"/>
          </w:rPr>
          <w:t>https://doi.org/10.xxxx/jita.2023.04.012</w:t>
        </w:r>
      </w:hyperlink>
    </w:p>
    <w:p w14:paraId="68028D16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</w:pPr>
    </w:p>
    <w:p w14:paraId="44EB6593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Alsaid, M. A. M., Ahmed, T. M., Jan, S., Khan, F. Q. M., &amp; Khattak, A. U. (2021). A comparative analysis of mobile application development approaches. </w:t>
      </w:r>
      <w:r w:rsidRPr="00744C59">
        <w:rPr>
          <w:rFonts w:ascii="Bahnschrift" w:hAnsi="Bahnschrift"/>
          <w:i/>
          <w:iCs/>
        </w:rPr>
        <w:t>Proceedings of the Pakistan Academy of Sciences: A. Physical Sciences, 58</w:t>
      </w:r>
      <w:r w:rsidRPr="00744C59">
        <w:rPr>
          <w:rFonts w:ascii="Bahnschrift" w:hAnsi="Bahnschrift"/>
        </w:rPr>
        <w:t xml:space="preserve">(1), 35–45. </w:t>
      </w:r>
      <w:hyperlink r:id="rId10" w:tgtFrame="_blank" w:history="1">
        <w:r w:rsidRPr="00744C59">
          <w:rPr>
            <w:rStyle w:val="Hyperlink"/>
            <w:rFonts w:ascii="Bahnschrift" w:hAnsi="Bahnschrift"/>
            <w:color w:val="auto"/>
            <w:u w:val="none"/>
          </w:rPr>
          <w:t>https://doi.org/10.53560/PPASA(58-1)717</w:t>
        </w:r>
      </w:hyperlink>
    </w:p>
    <w:p w14:paraId="15A4976A" w14:textId="77777777" w:rsidR="00AB5442" w:rsidRPr="00744C59" w:rsidRDefault="00AB5442" w:rsidP="00AB5442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6517D45" w14:textId="77777777" w:rsidR="00AB5442" w:rsidRPr="00744C59" w:rsidRDefault="00AB5442" w:rsidP="00AB5442">
      <w:pPr>
        <w:pStyle w:val="nova-legacy-e-listitem"/>
        <w:shd w:val="clear" w:color="auto" w:fill="FFFFFF"/>
        <w:spacing w:before="0" w:beforeAutospacing="0" w:after="0" w:afterAutospacing="0"/>
        <w:ind w:left="720" w:hanging="720"/>
        <w:contextualSpacing/>
        <w:jc w:val="both"/>
      </w:pPr>
      <w:r w:rsidRPr="00744C59">
        <w:rPr>
          <w:rFonts w:ascii="Bahnschrift" w:hAnsi="Bahnschrift"/>
          <w:sz w:val="22"/>
          <w:szCs w:val="22"/>
        </w:rPr>
        <w:t xml:space="preserve">Zefrinaldi, A., </w:t>
      </w:r>
      <w:proofErr w:type="spellStart"/>
      <w:r w:rsidRPr="00744C59">
        <w:rPr>
          <w:rFonts w:ascii="Bahnschrift" w:hAnsi="Bahnschrift"/>
          <w:sz w:val="22"/>
          <w:szCs w:val="22"/>
        </w:rPr>
        <w:t>Selviandro</w:t>
      </w:r>
      <w:proofErr w:type="spellEnd"/>
      <w:r w:rsidRPr="00744C59">
        <w:rPr>
          <w:rFonts w:ascii="Bahnschrift" w:hAnsi="Bahnschrift"/>
          <w:sz w:val="22"/>
          <w:szCs w:val="22"/>
        </w:rPr>
        <w:t xml:space="preserve">, N., &amp; Wulandari, G. S. (2024). Analysis and development of a football scouting app based on Flutter: A case study of A3N. </w:t>
      </w:r>
      <w:r w:rsidRPr="00744C59">
        <w:rPr>
          <w:rFonts w:ascii="Bahnschrift" w:hAnsi="Bahnschrift"/>
          <w:i/>
          <w:iCs/>
          <w:sz w:val="22"/>
          <w:szCs w:val="22"/>
        </w:rPr>
        <w:t>ADI Journal on Recent Innovation (AJRI), 5</w:t>
      </w:r>
      <w:r w:rsidRPr="00744C59">
        <w:rPr>
          <w:rFonts w:ascii="Bahnschrift" w:hAnsi="Bahnschrift"/>
          <w:sz w:val="22"/>
          <w:szCs w:val="22"/>
        </w:rPr>
        <w:t>(2), 181–191. DOI: </w:t>
      </w:r>
      <w:hyperlink r:id="rId11" w:tgtFrame="_blank" w:history="1">
        <w:r w:rsidRPr="00744C59">
          <w:rPr>
            <w:rStyle w:val="Hyperlink"/>
            <w:rFonts w:ascii="Bahnschrift" w:hAnsi="Bahnschrift"/>
            <w:color w:val="auto"/>
            <w:sz w:val="22"/>
            <w:szCs w:val="22"/>
            <w:u w:val="none"/>
            <w:bdr w:val="none" w:sz="0" w:space="0" w:color="auto" w:frame="1"/>
          </w:rPr>
          <w:t>10.34306/ajri.v5i2.1051</w:t>
        </w:r>
      </w:hyperlink>
    </w:p>
    <w:p w14:paraId="5F3FB002" w14:textId="77777777" w:rsidR="00AB5442" w:rsidRPr="00744C59" w:rsidRDefault="00AB5442" w:rsidP="00AB5442">
      <w:pPr>
        <w:pStyle w:val="nova-legacy-e-listitem"/>
        <w:shd w:val="clear" w:color="auto" w:fill="FFFFFF"/>
        <w:spacing w:before="0" w:beforeAutospacing="0" w:after="0" w:afterAutospacing="0"/>
        <w:ind w:left="720" w:hanging="720"/>
        <w:contextualSpacing/>
        <w:jc w:val="both"/>
      </w:pPr>
    </w:p>
    <w:p w14:paraId="295024CE" w14:textId="77777777" w:rsidR="00AB5442" w:rsidRPr="00744C59" w:rsidRDefault="00AB5442" w:rsidP="00AB5442">
      <w:pPr>
        <w:pStyle w:val="nova-legacy-e-listitem"/>
        <w:shd w:val="clear" w:color="auto" w:fill="FFFFFF"/>
        <w:spacing w:before="0" w:beforeAutospacing="0" w:after="0" w:afterAutospacing="0"/>
        <w:ind w:left="720" w:hanging="720"/>
        <w:contextualSpacing/>
        <w:jc w:val="both"/>
        <w:rPr>
          <w:rFonts w:ascii="Bahnschrift" w:hAnsi="Bahnschrift"/>
          <w:sz w:val="22"/>
          <w:szCs w:val="22"/>
        </w:rPr>
      </w:pPr>
      <w:r w:rsidRPr="00744C59">
        <w:rPr>
          <w:rFonts w:ascii="Bahnschrift" w:hAnsi="Bahnschrift"/>
          <w:sz w:val="22"/>
          <w:szCs w:val="22"/>
        </w:rPr>
        <w:t xml:space="preserve">Nagao, M., &amp; Matsuyama, T. (1980). </w:t>
      </w:r>
      <w:r w:rsidRPr="00744C59">
        <w:rPr>
          <w:rFonts w:ascii="Bahnschrift" w:hAnsi="Bahnschrift"/>
          <w:i/>
          <w:iCs/>
          <w:sz w:val="22"/>
          <w:szCs w:val="22"/>
        </w:rPr>
        <w:t>A structural analysis of complex aerial photographs</w:t>
      </w:r>
      <w:r w:rsidRPr="00744C59">
        <w:rPr>
          <w:rFonts w:ascii="Bahnschrift" w:hAnsi="Bahnschrift"/>
          <w:sz w:val="22"/>
          <w:szCs w:val="22"/>
        </w:rPr>
        <w:t>. Plenum Press.</w:t>
      </w:r>
    </w:p>
    <w:p w14:paraId="02A0B1C8" w14:textId="77777777" w:rsidR="00AB5442" w:rsidRPr="00744C59" w:rsidRDefault="00AB5442" w:rsidP="00AB5442">
      <w:pPr>
        <w:pStyle w:val="nova-legacy-e-listitem"/>
        <w:shd w:val="clear" w:color="auto" w:fill="FFFFFF"/>
        <w:spacing w:before="0" w:beforeAutospacing="0" w:after="0" w:afterAutospacing="0"/>
        <w:ind w:left="720" w:hanging="720"/>
        <w:contextualSpacing/>
        <w:jc w:val="both"/>
        <w:rPr>
          <w:rFonts w:ascii="Bahnschrift" w:hAnsi="Bahnschrift"/>
          <w:sz w:val="22"/>
          <w:szCs w:val="22"/>
        </w:rPr>
      </w:pPr>
    </w:p>
    <w:p w14:paraId="69D0E8F2" w14:textId="77777777" w:rsidR="00AB5442" w:rsidRPr="00744C59" w:rsidRDefault="00AB5442" w:rsidP="00AB5442">
      <w:pPr>
        <w:pStyle w:val="nova-legacy-e-listitem"/>
        <w:shd w:val="clear" w:color="auto" w:fill="FFFFFF"/>
        <w:spacing w:before="0" w:beforeAutospacing="0" w:after="0" w:afterAutospacing="0"/>
        <w:ind w:left="720" w:hanging="720"/>
        <w:contextualSpacing/>
        <w:jc w:val="both"/>
        <w:rPr>
          <w:rFonts w:ascii="Bahnschrift" w:hAnsi="Bahnschrift"/>
          <w:sz w:val="22"/>
          <w:szCs w:val="22"/>
        </w:rPr>
      </w:pPr>
      <w:r w:rsidRPr="00744C59">
        <w:rPr>
          <w:rFonts w:ascii="Bahnschrift" w:hAnsi="Bahnschrift"/>
          <w:sz w:val="22"/>
          <w:szCs w:val="22"/>
        </w:rPr>
        <w:t xml:space="preserve">Newell, A., &amp; Simon, H. A. (1972). </w:t>
      </w:r>
      <w:r w:rsidRPr="00744C59">
        <w:rPr>
          <w:rFonts w:ascii="Bahnschrift" w:hAnsi="Bahnschrift"/>
          <w:i/>
          <w:iCs/>
          <w:sz w:val="22"/>
          <w:szCs w:val="22"/>
        </w:rPr>
        <w:t>Human problem solving</w:t>
      </w:r>
      <w:r w:rsidRPr="00744C59">
        <w:rPr>
          <w:rFonts w:ascii="Bahnschrift" w:hAnsi="Bahnschrift"/>
          <w:sz w:val="22"/>
          <w:szCs w:val="22"/>
        </w:rPr>
        <w:t>. Prentice-Hall.</w:t>
      </w:r>
    </w:p>
    <w:p w14:paraId="0E857AF7" w14:textId="77777777" w:rsidR="00AB5442" w:rsidRPr="00744C59" w:rsidRDefault="00AB5442" w:rsidP="00AB5442">
      <w:pPr>
        <w:suppressLineNumbers/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1CB0131" w14:textId="77777777" w:rsidR="00AB5442" w:rsidRPr="00744C59" w:rsidRDefault="00AB5442" w:rsidP="00AB544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44C59">
        <w:rPr>
          <w:rFonts w:ascii="Bahnschrift" w:hAnsi="Bahnschrift"/>
        </w:rPr>
        <w:t xml:space="preserve">International Organization for Standardization &amp; International Electrotechnical Commission. (2023). ISO/IEC 25010:2023 </w:t>
      </w:r>
      <w:r w:rsidRPr="00744C59">
        <w:rPr>
          <w:rFonts w:ascii="Bahnschrift" w:hAnsi="Bahnschrift"/>
          <w:i/>
          <w:iCs/>
        </w:rPr>
        <w:t>Systems and software engineering — Systems and software Quality Requirements and Evaluation (</w:t>
      </w:r>
      <w:proofErr w:type="spellStart"/>
      <w:r w:rsidRPr="00744C59">
        <w:rPr>
          <w:rFonts w:ascii="Bahnschrift" w:hAnsi="Bahnschrift"/>
          <w:i/>
          <w:iCs/>
        </w:rPr>
        <w:t>SQuaRE</w:t>
      </w:r>
      <w:proofErr w:type="spellEnd"/>
      <w:r w:rsidRPr="00744C59">
        <w:rPr>
          <w:rFonts w:ascii="Bahnschrift" w:hAnsi="Bahnschrift"/>
          <w:i/>
          <w:iCs/>
        </w:rPr>
        <w:t>) — Product quality model</w:t>
      </w:r>
      <w:r w:rsidRPr="00744C59">
        <w:rPr>
          <w:rFonts w:ascii="Bahnschrift" w:hAnsi="Bahnschrift"/>
        </w:rPr>
        <w:t xml:space="preserve"> (2nd ed.). Geneva, Switzerland: ISO.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68241" w14:textId="77777777" w:rsidR="00784934" w:rsidRDefault="00784934" w:rsidP="00290EE2">
      <w:pPr>
        <w:spacing w:after="0" w:line="240" w:lineRule="auto"/>
      </w:pPr>
      <w:r>
        <w:separator/>
      </w:r>
    </w:p>
  </w:endnote>
  <w:endnote w:type="continuationSeparator" w:id="0">
    <w:p w14:paraId="0A89FEC0" w14:textId="77777777" w:rsidR="00784934" w:rsidRDefault="0078493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7C561" w14:textId="77777777" w:rsidR="00784934" w:rsidRDefault="00784934" w:rsidP="00290EE2">
      <w:pPr>
        <w:spacing w:after="0" w:line="240" w:lineRule="auto"/>
      </w:pPr>
      <w:r>
        <w:separator/>
      </w:r>
    </w:p>
  </w:footnote>
  <w:footnote w:type="continuationSeparator" w:id="0">
    <w:p w14:paraId="101100C8" w14:textId="77777777" w:rsidR="00784934" w:rsidRDefault="0078493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13D4A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84934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B5442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B5ACF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442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AB5442"/>
    <w:rPr>
      <w:color w:val="0563C1" w:themeColor="hyperlink"/>
      <w:u w:val="single"/>
    </w:rPr>
  </w:style>
  <w:style w:type="paragraph" w:customStyle="1" w:styleId="nova-legacy-e-listitem">
    <w:name w:val="nova-legacy-e-list__item"/>
    <w:basedOn w:val="Normal"/>
    <w:rsid w:val="00AB54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5147/ijcsr.2017.001.1.3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3390/educsci14040367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4306/ajri.v5i2.1051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google.com/search?q=https://doi.org/10.53560/PPASA(58-1)7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https://doi.org/10.xxxx/jita.2023.04.012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2026-05-12T13:25:00Z</dcterms:modified>
</cp:coreProperties>
</file>