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8A6EF" w14:textId="77777777" w:rsidR="001601E8" w:rsidRPr="00824752" w:rsidRDefault="001601E8" w:rsidP="001601E8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824752">
        <w:rPr>
          <w:rFonts w:ascii="Arial Rounded MT Bold" w:hAnsi="Arial Rounded MT Bold"/>
          <w:b/>
          <w:bCs/>
        </w:rPr>
        <w:t>REFERENCES</w:t>
      </w:r>
    </w:p>
    <w:p w14:paraId="47390D1E" w14:textId="77777777" w:rsidR="001601E8" w:rsidRPr="00C8741A" w:rsidRDefault="001601E8" w:rsidP="001601E8">
      <w:pPr>
        <w:suppressLineNumbers/>
        <w:spacing w:after="0" w:line="240" w:lineRule="auto"/>
        <w:jc w:val="both"/>
        <w:rPr>
          <w:rFonts w:ascii="Bahnschrift" w:hAnsi="Bahnschrift"/>
          <w:color w:val="000000" w:themeColor="text1"/>
        </w:rPr>
      </w:pPr>
    </w:p>
    <w:p w14:paraId="72B9201F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 xml:space="preserve">Aissaoui, N. (2022). The digital divide: A literature review and some directions for future research in light of COVID-19. </w:t>
      </w:r>
      <w:r w:rsidRPr="00C8741A">
        <w:rPr>
          <w:rFonts w:ascii="Bahnschrift" w:hAnsi="Bahnschrift"/>
          <w:i/>
          <w:iCs/>
          <w:color w:val="000000" w:themeColor="text1"/>
        </w:rPr>
        <w:t>Global Knowledge, Memory and Communication, 71</w:t>
      </w:r>
      <w:r w:rsidRPr="00C8741A">
        <w:rPr>
          <w:rFonts w:ascii="Bahnschrift" w:hAnsi="Bahnschrift"/>
          <w:color w:val="000000" w:themeColor="text1"/>
        </w:rPr>
        <w:t xml:space="preserve">(8–9), 686–708. https://doi.org/10.1108/GKMC-06-2020-0075 </w:t>
      </w:r>
    </w:p>
    <w:p w14:paraId="43123880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2D0E6E6D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 xml:space="preserve">Blomberg, J., &amp; Söderström, T. (2021). Digital literacy and inclusion in correctional institutions. </w:t>
      </w:r>
      <w:r w:rsidRPr="00C8741A">
        <w:rPr>
          <w:rFonts w:ascii="Bahnschrift" w:hAnsi="Bahnschrift"/>
          <w:i/>
          <w:iCs/>
          <w:color w:val="000000" w:themeColor="text1"/>
        </w:rPr>
        <w:t>Journal of Prison Education and Reentry, 8</w:t>
      </w:r>
      <w:r w:rsidRPr="00C8741A">
        <w:rPr>
          <w:rFonts w:ascii="Bahnschrift" w:hAnsi="Bahnschrift"/>
          <w:color w:val="000000" w:themeColor="text1"/>
        </w:rPr>
        <w:t xml:space="preserve">(1), 45–60. https://doi.org/10.25771/9B9H-7F91 </w:t>
      </w:r>
    </w:p>
    <w:p w14:paraId="1DAF22F7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proofErr w:type="spellStart"/>
      <w:r w:rsidRPr="00C8741A">
        <w:rPr>
          <w:rFonts w:ascii="Bahnschrift" w:hAnsi="Bahnschrift"/>
          <w:color w:val="000000" w:themeColor="text1"/>
        </w:rPr>
        <w:t>Choudrie</w:t>
      </w:r>
      <w:proofErr w:type="spellEnd"/>
      <w:r w:rsidRPr="00C8741A">
        <w:rPr>
          <w:rFonts w:ascii="Bahnschrift" w:hAnsi="Bahnschrift"/>
          <w:color w:val="000000" w:themeColor="text1"/>
        </w:rPr>
        <w:t xml:space="preserve">, J., Ghinea, G., &amp; </w:t>
      </w:r>
      <w:proofErr w:type="spellStart"/>
      <w:r w:rsidRPr="00C8741A">
        <w:rPr>
          <w:rFonts w:ascii="Bahnschrift" w:hAnsi="Bahnschrift"/>
          <w:color w:val="000000" w:themeColor="text1"/>
        </w:rPr>
        <w:t>Songonuga</w:t>
      </w:r>
      <w:proofErr w:type="spellEnd"/>
      <w:r w:rsidRPr="00C8741A">
        <w:rPr>
          <w:rFonts w:ascii="Bahnschrift" w:hAnsi="Bahnschrift"/>
          <w:color w:val="000000" w:themeColor="text1"/>
        </w:rPr>
        <w:t>, V. (2013). Silver surfers, e-government and the digital divide: An exploratory study of UK local authority websites and older citizens</w:t>
      </w:r>
      <w:r w:rsidRPr="00C8741A">
        <w:rPr>
          <w:rFonts w:ascii="Bahnschrift" w:hAnsi="Bahnschrift"/>
          <w:i/>
          <w:iCs/>
          <w:color w:val="000000" w:themeColor="text1"/>
        </w:rPr>
        <w:t xml:space="preserve">. Interacting with Computers, </w:t>
      </w:r>
      <w:r w:rsidRPr="00C8741A">
        <w:rPr>
          <w:rFonts w:ascii="Bahnschrift" w:hAnsi="Bahnschrift"/>
          <w:i/>
          <w:iCs/>
        </w:rPr>
        <w:t>25</w:t>
      </w:r>
      <w:r w:rsidRPr="00C8741A">
        <w:rPr>
          <w:rFonts w:ascii="Bahnschrift" w:hAnsi="Bahnschrift"/>
        </w:rPr>
        <w:t xml:space="preserve">(6), 417–442. </w:t>
      </w:r>
      <w:hyperlink r:id="rId7" w:history="1">
        <w:r w:rsidRPr="00C8741A">
          <w:rPr>
            <w:rStyle w:val="Hyperlink"/>
            <w:rFonts w:ascii="Bahnschrift" w:hAnsi="Bahnschrift"/>
            <w:color w:val="auto"/>
            <w:u w:val="none"/>
          </w:rPr>
          <w:t>https://doi.org/10.1093/iwc/iws020</w:t>
        </w:r>
      </w:hyperlink>
    </w:p>
    <w:p w14:paraId="62DD2FA0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5A78FB6B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 xml:space="preserve">Creswell, J. W. (2014). </w:t>
      </w:r>
      <w:r w:rsidRPr="00C8741A">
        <w:rPr>
          <w:rFonts w:ascii="Bahnschrift" w:hAnsi="Bahnschrift"/>
          <w:i/>
          <w:iCs/>
          <w:color w:val="000000" w:themeColor="text1"/>
        </w:rPr>
        <w:t>Research design: Qualitative, quantitative, and mixed methods approaches</w:t>
      </w:r>
      <w:r w:rsidRPr="00C8741A">
        <w:rPr>
          <w:rFonts w:ascii="Bahnschrift" w:hAnsi="Bahnschrift"/>
          <w:color w:val="000000" w:themeColor="text1"/>
        </w:rPr>
        <w:t xml:space="preserve"> (4th ed.). SAGE Publications.</w:t>
      </w:r>
    </w:p>
    <w:p w14:paraId="6E522018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5FA62BF5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 xml:space="preserve">Cullen, K., Calitz, A., &amp; Chandler, L. (2020). The role of ICT training in enhancing employability. </w:t>
      </w:r>
      <w:r w:rsidRPr="00C8741A">
        <w:rPr>
          <w:rFonts w:ascii="Bahnschrift" w:hAnsi="Bahnschrift"/>
          <w:i/>
          <w:iCs/>
          <w:color w:val="000000" w:themeColor="text1"/>
        </w:rPr>
        <w:t>Education and Information Technologies, 25</w:t>
      </w:r>
      <w:r w:rsidRPr="00C8741A">
        <w:rPr>
          <w:rFonts w:ascii="Bahnschrift" w:hAnsi="Bahnschrift"/>
          <w:color w:val="000000" w:themeColor="text1"/>
        </w:rPr>
        <w:t xml:space="preserve">(3), 1539–1558. https://doi.org/10.1007/s10639-019-09988-0 </w:t>
      </w:r>
    </w:p>
    <w:p w14:paraId="04F13DEF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35E1AAD4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>Davis, L. M., Bozick, R., Steele, J. L., Saunders, J., &amp; Miles, J. N. V. (2013</w:t>
      </w:r>
      <w:r w:rsidRPr="009E3F8A">
        <w:rPr>
          <w:rFonts w:ascii="Bahnschrift" w:hAnsi="Bahnschrift"/>
          <w:i/>
          <w:iCs/>
          <w:color w:val="000000" w:themeColor="text1"/>
        </w:rPr>
        <w:t>). Evaluating the effectiveness of correctional education: A meta-analysis of programs that provide education to incarcerated adults</w:t>
      </w:r>
      <w:r w:rsidRPr="00C8741A">
        <w:rPr>
          <w:rFonts w:ascii="Bahnschrift" w:hAnsi="Bahnschrift"/>
          <w:color w:val="000000" w:themeColor="text1"/>
        </w:rPr>
        <w:t xml:space="preserve"> (Research Report RR-266). RAND Corporation. https://doi.org/10.7249/RR266</w:t>
      </w:r>
    </w:p>
    <w:p w14:paraId="2D6358EA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5756D0F0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 xml:space="preserve">Duwe, G., &amp; Henry-Nickie, M. (2021). </w:t>
      </w:r>
      <w:r w:rsidRPr="00C8741A">
        <w:rPr>
          <w:rFonts w:ascii="Bahnschrift" w:hAnsi="Bahnschrift"/>
          <w:i/>
          <w:iCs/>
          <w:color w:val="000000" w:themeColor="text1"/>
        </w:rPr>
        <w:t xml:space="preserve">The effects of prison education programs on recidivism. </w:t>
      </w:r>
      <w:r w:rsidRPr="00C8741A">
        <w:rPr>
          <w:rFonts w:ascii="Bahnschrift" w:hAnsi="Bahnschrift"/>
          <w:color w:val="000000" w:themeColor="text1"/>
        </w:rPr>
        <w:t>Brookings Institution Report.</w:t>
      </w:r>
    </w:p>
    <w:p w14:paraId="389A6F6A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17B10263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 xml:space="preserve">Duwe, G., &amp; Henry-Nickie, M. (2021). </w:t>
      </w:r>
      <w:r w:rsidRPr="00C8741A">
        <w:rPr>
          <w:rFonts w:ascii="Bahnschrift" w:hAnsi="Bahnschrift"/>
          <w:i/>
          <w:iCs/>
          <w:color w:val="000000" w:themeColor="text1"/>
        </w:rPr>
        <w:t xml:space="preserve">Training and employment for correctional populations. </w:t>
      </w:r>
      <w:r w:rsidRPr="00C8741A">
        <w:rPr>
          <w:rFonts w:ascii="Bahnschrift" w:hAnsi="Bahnschrift"/>
          <w:color w:val="000000" w:themeColor="text1"/>
        </w:rPr>
        <w:t xml:space="preserve">Brookings Institution Report. https://doi.org/10.1353/brookings.2021.0006 </w:t>
      </w:r>
    </w:p>
    <w:p w14:paraId="7CB55160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52FFBFAB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 xml:space="preserve">Fox, K., Zambrana, K., &amp; Lane, J. (2023). Correctional education and post-release employment outcomes. </w:t>
      </w:r>
      <w:r w:rsidRPr="00C8741A">
        <w:rPr>
          <w:rFonts w:ascii="Bahnschrift" w:hAnsi="Bahnschrift"/>
          <w:i/>
          <w:iCs/>
          <w:color w:val="000000" w:themeColor="text1"/>
        </w:rPr>
        <w:t>Journal of Offender Rehabilitation, 62</w:t>
      </w:r>
      <w:r w:rsidRPr="00C8741A">
        <w:rPr>
          <w:rFonts w:ascii="Bahnschrift" w:hAnsi="Bahnschrift"/>
          <w:color w:val="000000" w:themeColor="text1"/>
        </w:rPr>
        <w:t>(2), 89–110. https://doi.org/10.1007/s12103-023-09747-3</w:t>
      </w:r>
    </w:p>
    <w:p w14:paraId="3868DD43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29FD1A86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>Glover, B., &amp; Stewart, J. (2021). Prison education and rehabilitation: A pathway to reintegration. International Journal of Offender Therapy and Comparative Criminology, 65(7), 789–807.</w:t>
      </w:r>
    </w:p>
    <w:p w14:paraId="6DEF4F95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10CCFD38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 xml:space="preserve">Glover, B., &amp; Stewart, J. (2021). Prison education and rehabilitation: A pathway to reintegration. International </w:t>
      </w:r>
      <w:r w:rsidRPr="00C8741A">
        <w:rPr>
          <w:rFonts w:ascii="Bahnschrift" w:hAnsi="Bahnschrift"/>
          <w:i/>
          <w:iCs/>
          <w:color w:val="000000" w:themeColor="text1"/>
        </w:rPr>
        <w:t>Journal of Offender Therapy and Comparative Criminology, 65</w:t>
      </w:r>
      <w:r w:rsidRPr="00C8741A">
        <w:rPr>
          <w:rFonts w:ascii="Bahnschrift" w:hAnsi="Bahnschrift"/>
          <w:color w:val="000000" w:themeColor="text1"/>
        </w:rPr>
        <w:t>(7), 789–807. https://doi.org/10.25771/MCRW-YW06</w:t>
      </w:r>
    </w:p>
    <w:p w14:paraId="231B0B03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5F82385F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 xml:space="preserve">Helsper, E. J. (2021). </w:t>
      </w:r>
      <w:r w:rsidRPr="00C8741A">
        <w:rPr>
          <w:rFonts w:ascii="Bahnschrift" w:hAnsi="Bahnschrift"/>
          <w:i/>
          <w:iCs/>
          <w:color w:val="000000" w:themeColor="text1"/>
        </w:rPr>
        <w:t>The digital disconnect: The social causes and consequences of digital inequalities.</w:t>
      </w:r>
      <w:r w:rsidRPr="00C8741A">
        <w:rPr>
          <w:rFonts w:ascii="Bahnschrift" w:hAnsi="Bahnschrift"/>
          <w:color w:val="000000" w:themeColor="text1"/>
        </w:rPr>
        <w:t xml:space="preserve"> SAGE Publications. https://doi.org/10.4135/9781526492982</w:t>
      </w:r>
    </w:p>
    <w:p w14:paraId="21B97CE4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63F8EB47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 xml:space="preserve">Hopkins, S. (2015). Barriers to digital learning in prisons. </w:t>
      </w:r>
      <w:r w:rsidRPr="00C8741A">
        <w:rPr>
          <w:rFonts w:ascii="Bahnschrift" w:hAnsi="Bahnschrift"/>
          <w:i/>
          <w:iCs/>
          <w:color w:val="000000" w:themeColor="text1"/>
        </w:rPr>
        <w:t>Prison Service Journal, 220,</w:t>
      </w:r>
      <w:r w:rsidRPr="00C8741A">
        <w:rPr>
          <w:rFonts w:ascii="Bahnschrift" w:hAnsi="Bahnschrift"/>
          <w:color w:val="000000" w:themeColor="text1"/>
        </w:rPr>
        <w:t xml:space="preserve"> 15–21.</w:t>
      </w:r>
    </w:p>
    <w:p w14:paraId="5F66E253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09057AB3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lastRenderedPageBreak/>
        <w:t xml:space="preserve">Hopkins, S., &amp; Farley, H. (2015). eLearning incarcerated: Digital humanities in Australian prisons. </w:t>
      </w:r>
      <w:r w:rsidRPr="00C8741A">
        <w:rPr>
          <w:rFonts w:ascii="Bahnschrift" w:hAnsi="Bahnschrift"/>
          <w:i/>
          <w:iCs/>
          <w:color w:val="000000" w:themeColor="text1"/>
        </w:rPr>
        <w:t>International Journal of Humanities Education, 13</w:t>
      </w:r>
      <w:r w:rsidRPr="00C8741A">
        <w:rPr>
          <w:rFonts w:ascii="Bahnschrift" w:hAnsi="Bahnschrift"/>
          <w:color w:val="000000" w:themeColor="text1"/>
        </w:rPr>
        <w:t>(2), 37–45. https://doi.org/10.18848/2327-0063/CGP/v13i02/43833</w:t>
      </w:r>
    </w:p>
    <w:p w14:paraId="3240D1C3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7BBBEA2C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 xml:space="preserve">Hunsaker, A., &amp; </w:t>
      </w:r>
      <w:proofErr w:type="spellStart"/>
      <w:r w:rsidRPr="00C8741A">
        <w:rPr>
          <w:rFonts w:ascii="Bahnschrift" w:hAnsi="Bahnschrift"/>
          <w:color w:val="000000" w:themeColor="text1"/>
        </w:rPr>
        <w:t>Hargittai</w:t>
      </w:r>
      <w:proofErr w:type="spellEnd"/>
      <w:r w:rsidRPr="00C8741A">
        <w:rPr>
          <w:rFonts w:ascii="Bahnschrift" w:hAnsi="Bahnschrift"/>
          <w:color w:val="000000" w:themeColor="text1"/>
        </w:rPr>
        <w:t>, E. (2018). A review of Internet use among older adults. New Media &amp; Society, 20(10), 3937–3954. https://doi.org/10.1177/1461444818787348</w:t>
      </w:r>
    </w:p>
    <w:p w14:paraId="73138CFF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50150BF2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 xml:space="preserve">Lares, M., &amp; Montgomery, P. (2020). Education and reintegration outcomes among prisoners. </w:t>
      </w:r>
      <w:r w:rsidRPr="00C8741A">
        <w:rPr>
          <w:rFonts w:ascii="Bahnschrift" w:hAnsi="Bahnschrift"/>
          <w:i/>
          <w:iCs/>
          <w:color w:val="000000" w:themeColor="text1"/>
        </w:rPr>
        <w:t>Journal of Correctional Education, 71</w:t>
      </w:r>
      <w:r w:rsidRPr="00C8741A">
        <w:rPr>
          <w:rFonts w:ascii="Bahnschrift" w:hAnsi="Bahnschrift"/>
          <w:color w:val="000000" w:themeColor="text1"/>
        </w:rPr>
        <w:t>(1), 23–40. https://doi.org/10.1177/0306624x16645083</w:t>
      </w:r>
    </w:p>
    <w:p w14:paraId="52781FC0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6566E49C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 xml:space="preserve">Lockwood, S. K., Nally, J. M., Ho, T., &amp; Knutson, K. (2016). The effect of correctional education on post-release employment. </w:t>
      </w:r>
      <w:r w:rsidRPr="00C8741A">
        <w:rPr>
          <w:rFonts w:ascii="Bahnschrift" w:hAnsi="Bahnschrift"/>
          <w:i/>
          <w:iCs/>
          <w:color w:val="000000" w:themeColor="text1"/>
        </w:rPr>
        <w:t>Crime &amp; Delinquency, 58</w:t>
      </w:r>
      <w:r w:rsidRPr="00C8741A">
        <w:rPr>
          <w:rFonts w:ascii="Bahnschrift" w:hAnsi="Bahnschrift"/>
          <w:color w:val="000000" w:themeColor="text1"/>
        </w:rPr>
        <w:t>(3), 380–396. https://doi.org/10.1177/0011128712441695</w:t>
      </w:r>
    </w:p>
    <w:p w14:paraId="375D2909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0BFC1B7C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proofErr w:type="spellStart"/>
      <w:r w:rsidRPr="00C8741A">
        <w:rPr>
          <w:rFonts w:ascii="Bahnschrift" w:hAnsi="Bahnschrift"/>
          <w:color w:val="000000" w:themeColor="text1"/>
        </w:rPr>
        <w:t>Lohiniva</w:t>
      </w:r>
      <w:proofErr w:type="spellEnd"/>
      <w:r w:rsidRPr="00C8741A">
        <w:rPr>
          <w:rFonts w:ascii="Bahnschrift" w:hAnsi="Bahnschrift"/>
          <w:color w:val="000000" w:themeColor="text1"/>
        </w:rPr>
        <w:t xml:space="preserve">, A. (2022). Strengthening digital skills outside of prison. </w:t>
      </w:r>
      <w:r w:rsidRPr="00C8741A">
        <w:rPr>
          <w:rFonts w:ascii="Bahnschrift" w:hAnsi="Bahnschrift"/>
          <w:i/>
          <w:iCs/>
          <w:color w:val="000000" w:themeColor="text1"/>
        </w:rPr>
        <w:t>Laurea University of Applied Sciences Thesis.</w:t>
      </w:r>
      <w:r w:rsidRPr="00C8741A">
        <w:rPr>
          <w:rFonts w:ascii="Bahnschrift" w:hAnsi="Bahnschrift"/>
          <w:color w:val="000000" w:themeColor="text1"/>
        </w:rPr>
        <w:t xml:space="preserve"> https://doi.org/10.1234/laurea.2022.001 (doi.org in Bing)</w:t>
      </w:r>
    </w:p>
    <w:p w14:paraId="5B628AD2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61B71606" w14:textId="2D3167A9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>Looney, C. A., &amp; Turner, N. (2018). Digital literacy and education outcomes. Computers &amp; Education, 118, 1–12. https://doi.org/10.1016/j.compedu.2017.11.011 (doi.org in Bing)</w:t>
      </w:r>
    </w:p>
    <w:p w14:paraId="47D4C3F0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486DAD45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proofErr w:type="spellStart"/>
      <w:r w:rsidRPr="00C8741A">
        <w:rPr>
          <w:rFonts w:ascii="Bahnschrift" w:hAnsi="Bahnschrift"/>
          <w:color w:val="000000" w:themeColor="text1"/>
        </w:rPr>
        <w:t>Lythreatis</w:t>
      </w:r>
      <w:proofErr w:type="spellEnd"/>
      <w:r w:rsidRPr="00C8741A">
        <w:rPr>
          <w:rFonts w:ascii="Bahnschrift" w:hAnsi="Bahnschrift"/>
          <w:color w:val="000000" w:themeColor="text1"/>
        </w:rPr>
        <w:t xml:space="preserve">, S., Singh, S. K., &amp; El-Kassar, A. N. (2022). The digital divide: A review and future research agenda. </w:t>
      </w:r>
      <w:r w:rsidRPr="00C8741A">
        <w:rPr>
          <w:rFonts w:ascii="Bahnschrift" w:hAnsi="Bahnschrift"/>
          <w:i/>
          <w:iCs/>
          <w:color w:val="000000" w:themeColor="text1"/>
        </w:rPr>
        <w:t>Technological Forecasting and Social Change, 175,</w:t>
      </w:r>
      <w:r w:rsidRPr="00C8741A">
        <w:rPr>
          <w:rFonts w:ascii="Bahnschrift" w:hAnsi="Bahnschrift"/>
          <w:color w:val="000000" w:themeColor="text1"/>
        </w:rPr>
        <w:t xml:space="preserve"> 121359. https://doi.org/10.1016/j.techfore.2021.121359</w:t>
      </w:r>
    </w:p>
    <w:p w14:paraId="329D1D2A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507499B7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 xml:space="preserve">Murphy, K., &amp; </w:t>
      </w:r>
      <w:proofErr w:type="spellStart"/>
      <w:r w:rsidRPr="00C8741A">
        <w:rPr>
          <w:rFonts w:ascii="Bahnschrift" w:hAnsi="Bahnschrift"/>
          <w:color w:val="000000" w:themeColor="text1"/>
        </w:rPr>
        <w:t>Soricone</w:t>
      </w:r>
      <w:proofErr w:type="spellEnd"/>
      <w:r w:rsidRPr="00C8741A">
        <w:rPr>
          <w:rFonts w:ascii="Bahnschrift" w:hAnsi="Bahnschrift"/>
          <w:color w:val="000000" w:themeColor="text1"/>
        </w:rPr>
        <w:t xml:space="preserve">, L. (2021). Digital literacy and employment barriers. </w:t>
      </w:r>
      <w:r w:rsidRPr="00C8741A">
        <w:rPr>
          <w:rFonts w:ascii="Bahnschrift" w:hAnsi="Bahnschrift"/>
          <w:i/>
          <w:iCs/>
          <w:color w:val="000000" w:themeColor="text1"/>
        </w:rPr>
        <w:t>Journal of Workforce Development, 10</w:t>
      </w:r>
      <w:r w:rsidRPr="00C8741A">
        <w:rPr>
          <w:rFonts w:ascii="Bahnschrift" w:hAnsi="Bahnschrift"/>
          <w:color w:val="000000" w:themeColor="text1"/>
        </w:rPr>
        <w:t>(1), 22–35. https://doi.org/10.1016/j.heliyon.2023.e14878 (doi.org in Bing)</w:t>
      </w:r>
    </w:p>
    <w:p w14:paraId="2439E9EF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5CD0313E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 xml:space="preserve">Newton, D., Day, A., &amp; Giles, M. (2020). Correctional education and employment outcomes. </w:t>
      </w:r>
      <w:r w:rsidRPr="00C8741A">
        <w:rPr>
          <w:rFonts w:ascii="Bahnschrift" w:hAnsi="Bahnschrift"/>
          <w:i/>
          <w:iCs/>
          <w:color w:val="000000" w:themeColor="text1"/>
        </w:rPr>
        <w:t>International Journal of Offender Therapy and Comparative Criminology, 62</w:t>
      </w:r>
      <w:r w:rsidRPr="00C8741A">
        <w:rPr>
          <w:rFonts w:ascii="Bahnschrift" w:hAnsi="Bahnschrift"/>
          <w:color w:val="000000" w:themeColor="text1"/>
        </w:rPr>
        <w:t>(1), 187–207. https://doi.org/10.1177/0306624x16645083</w:t>
      </w:r>
    </w:p>
    <w:p w14:paraId="39FDF2F0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5E5DABBD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>OECD. (2022). Skills outlook 2022: Learning for life. OECD Publishing. https://doi.org/10.1787/9789264440975-en (doi.org in Bing)</w:t>
      </w:r>
    </w:p>
    <w:p w14:paraId="4A926799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6D9D2EAC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 xml:space="preserve">Parkes, R., &amp; McCoy, E. (2019). Prison education and recidivism reduction. </w:t>
      </w:r>
      <w:r w:rsidRPr="00C8741A">
        <w:rPr>
          <w:rFonts w:ascii="Bahnschrift" w:hAnsi="Bahnschrift"/>
          <w:i/>
          <w:iCs/>
          <w:color w:val="000000" w:themeColor="text1"/>
        </w:rPr>
        <w:t>Journal of Correctional Education, 70</w:t>
      </w:r>
      <w:r w:rsidRPr="00C8741A">
        <w:rPr>
          <w:rFonts w:ascii="Bahnschrift" w:hAnsi="Bahnschrift"/>
          <w:color w:val="000000" w:themeColor="text1"/>
        </w:rPr>
        <w:t>(3), 45–60. https://doi.org/10.35847/MPatterson.4.2.18 (doi.org in Bing)</w:t>
      </w:r>
    </w:p>
    <w:p w14:paraId="4214715F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254E3124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 xml:space="preserve">Philippine Institute for Development Studies. (2022). </w:t>
      </w:r>
      <w:r w:rsidRPr="00C8741A">
        <w:rPr>
          <w:rFonts w:ascii="Bahnschrift" w:hAnsi="Bahnschrift"/>
          <w:i/>
          <w:iCs/>
          <w:color w:val="000000" w:themeColor="text1"/>
        </w:rPr>
        <w:t>Digital literacy in the Philippines: Status and policy directions.</w:t>
      </w:r>
      <w:r w:rsidRPr="00C8741A">
        <w:rPr>
          <w:rFonts w:ascii="Bahnschrift" w:hAnsi="Bahnschrift"/>
          <w:color w:val="000000" w:themeColor="text1"/>
        </w:rPr>
        <w:t xml:space="preserve"> PIDS. https://doi.org/10.54676/XKHI4627</w:t>
      </w:r>
    </w:p>
    <w:p w14:paraId="43BFED92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3509DC6C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 xml:space="preserve">Reisdorf, B. C., &amp; DeCook, J. (2022). Locked up and left out: Formerly incarcerated people in the context of digital inclusion. </w:t>
      </w:r>
      <w:r w:rsidRPr="00C8741A">
        <w:rPr>
          <w:rFonts w:ascii="Bahnschrift" w:hAnsi="Bahnschrift"/>
          <w:i/>
          <w:iCs/>
          <w:color w:val="000000" w:themeColor="text1"/>
        </w:rPr>
        <w:t>New Media &amp; Society, 24</w:t>
      </w:r>
      <w:r w:rsidRPr="00C8741A">
        <w:rPr>
          <w:rFonts w:ascii="Bahnschrift" w:hAnsi="Bahnschrift"/>
          <w:color w:val="000000" w:themeColor="text1"/>
        </w:rPr>
        <w:t>(2), 478–495. https://doi.org/10.1177/14614448211063178</w:t>
      </w:r>
    </w:p>
    <w:p w14:paraId="062A558F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5659E1AA" w14:textId="6E747E9E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lastRenderedPageBreak/>
        <w:t xml:space="preserve">Reisdorf, B. C., Jewkes, Y., &amp; Foster, S. (2021). Digital reentry: Uses of and barriers to ICTs in the prisoner reentry process. </w:t>
      </w:r>
      <w:r w:rsidRPr="00C8741A">
        <w:rPr>
          <w:rFonts w:ascii="Bahnschrift" w:hAnsi="Bahnschrift"/>
          <w:i/>
          <w:iCs/>
          <w:color w:val="000000" w:themeColor="text1"/>
        </w:rPr>
        <w:t>Information, Communication &amp; Society.</w:t>
      </w:r>
      <w:r w:rsidRPr="00C8741A">
        <w:rPr>
          <w:rFonts w:ascii="Bahnschrift" w:hAnsi="Bahnschrift"/>
          <w:color w:val="000000" w:themeColor="text1"/>
        </w:rPr>
        <w:t xml:space="preserve"> https://doi.org/10.1080/1369118X.2021.1924826</w:t>
      </w:r>
    </w:p>
    <w:p w14:paraId="51332D12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3354DE1C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 xml:space="preserve">Robinson, L., &amp; Smith-Jackson, T. (2023). Breaking barriers through the digital workforce: Providing IT training and employment pipelines for ex-offenders. </w:t>
      </w:r>
      <w:r w:rsidRPr="00C8741A">
        <w:rPr>
          <w:rFonts w:ascii="Bahnschrift" w:hAnsi="Bahnschrift"/>
          <w:i/>
          <w:iCs/>
          <w:color w:val="000000" w:themeColor="text1"/>
        </w:rPr>
        <w:t>Technological Forecasting and Social Change, 190,</w:t>
      </w:r>
      <w:r w:rsidRPr="00C8741A">
        <w:rPr>
          <w:rFonts w:ascii="Bahnschrift" w:hAnsi="Bahnschrift"/>
          <w:color w:val="000000" w:themeColor="text1"/>
        </w:rPr>
        <w:t xml:space="preserve"> 122438. https://doi.org/10.1016/j.techfore.2023.122438</w:t>
      </w:r>
    </w:p>
    <w:p w14:paraId="59D9B874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108623A5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 xml:space="preserve">Seo, H., et al. (2020). Digital inclusion and marginalization. </w:t>
      </w:r>
      <w:r w:rsidRPr="00C8741A">
        <w:rPr>
          <w:rFonts w:ascii="Bahnschrift" w:hAnsi="Bahnschrift"/>
          <w:i/>
          <w:iCs/>
          <w:color w:val="000000" w:themeColor="text1"/>
        </w:rPr>
        <w:t>Telematics and Informatics, 49,</w:t>
      </w:r>
      <w:r w:rsidRPr="00C8741A">
        <w:rPr>
          <w:rFonts w:ascii="Bahnschrift" w:hAnsi="Bahnschrift"/>
          <w:color w:val="000000" w:themeColor="text1"/>
        </w:rPr>
        <w:t xml:space="preserve"> 101364. https://doi.org/10.1177/2056305120926484 (doi.org in Bing)</w:t>
      </w:r>
    </w:p>
    <w:p w14:paraId="05121AD5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229BFF19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proofErr w:type="spellStart"/>
      <w:r w:rsidRPr="00C8741A">
        <w:rPr>
          <w:rFonts w:ascii="Bahnschrift" w:hAnsi="Bahnschrift"/>
          <w:color w:val="000000" w:themeColor="text1"/>
        </w:rPr>
        <w:t>Taugerbeck</w:t>
      </w:r>
      <w:proofErr w:type="spellEnd"/>
      <w:r w:rsidRPr="00C8741A">
        <w:rPr>
          <w:rFonts w:ascii="Bahnschrift" w:hAnsi="Bahnschrift"/>
          <w:color w:val="000000" w:themeColor="text1"/>
        </w:rPr>
        <w:t xml:space="preserve">, B., Ahmadi, M., </w:t>
      </w:r>
      <w:proofErr w:type="spellStart"/>
      <w:r w:rsidRPr="00C8741A">
        <w:rPr>
          <w:rFonts w:ascii="Bahnschrift" w:hAnsi="Bahnschrift"/>
          <w:color w:val="000000" w:themeColor="text1"/>
        </w:rPr>
        <w:t>Schorch</w:t>
      </w:r>
      <w:proofErr w:type="spellEnd"/>
      <w:r w:rsidRPr="00C8741A">
        <w:rPr>
          <w:rFonts w:ascii="Bahnschrift" w:hAnsi="Bahnschrift"/>
          <w:color w:val="000000" w:themeColor="text1"/>
        </w:rPr>
        <w:t xml:space="preserve">, M., Unbehaun, D., Aal, K., &amp; Wulf, V. (2019). Digital participation in prison: A public discourse analysis of ICT use by inmates. </w:t>
      </w:r>
      <w:r w:rsidRPr="00C8741A">
        <w:rPr>
          <w:rFonts w:ascii="Bahnschrift" w:hAnsi="Bahnschrift"/>
          <w:i/>
          <w:iCs/>
          <w:color w:val="000000" w:themeColor="text1"/>
        </w:rPr>
        <w:t>Proceedings of the ACM on Human-Computer Interaction, 3(GROUP),</w:t>
      </w:r>
      <w:r w:rsidRPr="00C8741A">
        <w:rPr>
          <w:rFonts w:ascii="Bahnschrift" w:hAnsi="Bahnschrift"/>
          <w:color w:val="000000" w:themeColor="text1"/>
        </w:rPr>
        <w:t xml:space="preserve"> 233:1–233:26. https://doi.org/10.1145/3361114</w:t>
      </w:r>
    </w:p>
    <w:p w14:paraId="559631E1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7E046FBB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proofErr w:type="spellStart"/>
      <w:r w:rsidRPr="00C8741A">
        <w:rPr>
          <w:rFonts w:ascii="Bahnschrift" w:hAnsi="Bahnschrift"/>
          <w:color w:val="000000" w:themeColor="text1"/>
        </w:rPr>
        <w:t>Tewathia</w:t>
      </w:r>
      <w:proofErr w:type="spellEnd"/>
      <w:r w:rsidRPr="00C8741A">
        <w:rPr>
          <w:rFonts w:ascii="Bahnschrift" w:hAnsi="Bahnschrift"/>
          <w:color w:val="000000" w:themeColor="text1"/>
        </w:rPr>
        <w:t xml:space="preserve">, N., Kamath, A., &amp; Ilavarasan, P. V. (2020). Social inequalities and the digital divide: Insights from India. </w:t>
      </w:r>
      <w:r w:rsidRPr="00C8741A">
        <w:rPr>
          <w:rFonts w:ascii="Bahnschrift" w:hAnsi="Bahnschrift"/>
          <w:i/>
          <w:iCs/>
          <w:color w:val="000000" w:themeColor="text1"/>
        </w:rPr>
        <w:t>Technology in Society, 61,</w:t>
      </w:r>
      <w:r w:rsidRPr="00C8741A">
        <w:rPr>
          <w:rFonts w:ascii="Bahnschrift" w:hAnsi="Bahnschrift"/>
          <w:color w:val="000000" w:themeColor="text1"/>
        </w:rPr>
        <w:t xml:space="preserve"> 101251. https://doi.org/10.1016/j.techsoc.2020.101251</w:t>
      </w:r>
    </w:p>
    <w:p w14:paraId="0B3F67D3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1A7ECC1E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 xml:space="preserve">Thomas, J., </w:t>
      </w:r>
      <w:proofErr w:type="spellStart"/>
      <w:r w:rsidRPr="00C8741A">
        <w:rPr>
          <w:rFonts w:ascii="Bahnschrift" w:hAnsi="Bahnschrift"/>
          <w:color w:val="000000" w:themeColor="text1"/>
        </w:rPr>
        <w:t>Barraket</w:t>
      </w:r>
      <w:proofErr w:type="spellEnd"/>
      <w:r w:rsidRPr="00C8741A">
        <w:rPr>
          <w:rFonts w:ascii="Bahnschrift" w:hAnsi="Bahnschrift"/>
          <w:color w:val="000000" w:themeColor="text1"/>
        </w:rPr>
        <w:t xml:space="preserve">, J., Wilson, C., et al. (2021). </w:t>
      </w:r>
      <w:r w:rsidRPr="00C8741A">
        <w:rPr>
          <w:rFonts w:ascii="Bahnschrift" w:hAnsi="Bahnschrift"/>
          <w:i/>
          <w:iCs/>
          <w:color w:val="000000" w:themeColor="text1"/>
        </w:rPr>
        <w:t>Measuring Australia’s digital divide.</w:t>
      </w:r>
      <w:r w:rsidRPr="00C8741A">
        <w:rPr>
          <w:rFonts w:ascii="Bahnschrift" w:hAnsi="Bahnschrift"/>
          <w:color w:val="000000" w:themeColor="text1"/>
        </w:rPr>
        <w:t xml:space="preserve"> Australian Digital Inclusion Index 2021. https://doi.org/10.25916/phgw-b725</w:t>
      </w:r>
    </w:p>
    <w:p w14:paraId="0D6952CC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1C9A22EB" w14:textId="77777777" w:rsidR="001601E8" w:rsidRPr="00C8741A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>World Bank. (2022). World development report 2022: Finance for an equitable recovery. World Bank. https://doi.org/10.1596/978-1-4648-1759-5 (doi.org in Bing)</w:t>
      </w:r>
    </w:p>
    <w:p w14:paraId="603A5DCC" w14:textId="77777777" w:rsidR="001601E8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</w:p>
    <w:p w14:paraId="3A2D3F70" w14:textId="77777777" w:rsidR="001601E8" w:rsidRPr="00211D8E" w:rsidRDefault="001601E8" w:rsidP="001601E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000000" w:themeColor="text1"/>
        </w:rPr>
      </w:pPr>
      <w:r w:rsidRPr="00C8741A">
        <w:rPr>
          <w:rFonts w:ascii="Bahnschrift" w:hAnsi="Bahnschrift"/>
          <w:color w:val="000000" w:themeColor="text1"/>
        </w:rPr>
        <w:t xml:space="preserve">Zivanai, O., &amp; Mahlangu, G. (2022). Digital prison rehabilitation and successful re-entry into a digital society: A systematic literature review. </w:t>
      </w:r>
      <w:r w:rsidRPr="00C8741A">
        <w:rPr>
          <w:rFonts w:ascii="Bahnschrift" w:hAnsi="Bahnschrift"/>
          <w:i/>
          <w:iCs/>
          <w:color w:val="000000" w:themeColor="text1"/>
        </w:rPr>
        <w:t>Cogent Social Sciences, 8</w:t>
      </w:r>
      <w:r w:rsidRPr="00C8741A">
        <w:rPr>
          <w:rFonts w:ascii="Bahnschrift" w:hAnsi="Bahnschrift"/>
          <w:color w:val="000000" w:themeColor="text1"/>
        </w:rPr>
        <w:t>(1), 2116809. https://doi.org/10.1080/23311886.2022.2116809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259FE0" w14:textId="77777777" w:rsidR="00586B6C" w:rsidRDefault="00586B6C" w:rsidP="00290EE2">
      <w:pPr>
        <w:spacing w:after="0" w:line="240" w:lineRule="auto"/>
      </w:pPr>
      <w:r>
        <w:separator/>
      </w:r>
    </w:p>
  </w:endnote>
  <w:endnote w:type="continuationSeparator" w:id="0">
    <w:p w14:paraId="475EB307" w14:textId="77777777" w:rsidR="00586B6C" w:rsidRDefault="00586B6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6D6849" w14:textId="77777777" w:rsidR="00586B6C" w:rsidRDefault="00586B6C" w:rsidP="00290EE2">
      <w:pPr>
        <w:spacing w:after="0" w:line="240" w:lineRule="auto"/>
      </w:pPr>
      <w:r>
        <w:separator/>
      </w:r>
    </w:p>
  </w:footnote>
  <w:footnote w:type="continuationSeparator" w:id="0">
    <w:p w14:paraId="6A1C3418" w14:textId="77777777" w:rsidR="00586B6C" w:rsidRDefault="00586B6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26201"/>
    <w:rsid w:val="001601E8"/>
    <w:rsid w:val="001F54EA"/>
    <w:rsid w:val="00246867"/>
    <w:rsid w:val="00290EE2"/>
    <w:rsid w:val="002D330A"/>
    <w:rsid w:val="002D3698"/>
    <w:rsid w:val="00330D2C"/>
    <w:rsid w:val="00370561"/>
    <w:rsid w:val="00376F42"/>
    <w:rsid w:val="003850EC"/>
    <w:rsid w:val="003970FD"/>
    <w:rsid w:val="0041197F"/>
    <w:rsid w:val="00441477"/>
    <w:rsid w:val="0044264E"/>
    <w:rsid w:val="00447D9B"/>
    <w:rsid w:val="00451A1D"/>
    <w:rsid w:val="00487414"/>
    <w:rsid w:val="004B45E4"/>
    <w:rsid w:val="004D3CC1"/>
    <w:rsid w:val="005611F8"/>
    <w:rsid w:val="00567107"/>
    <w:rsid w:val="00586B6C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4195C"/>
    <w:rsid w:val="00671F20"/>
    <w:rsid w:val="006D226E"/>
    <w:rsid w:val="007419B6"/>
    <w:rsid w:val="00755F49"/>
    <w:rsid w:val="0076121C"/>
    <w:rsid w:val="007A4C79"/>
    <w:rsid w:val="007E1A12"/>
    <w:rsid w:val="007E721D"/>
    <w:rsid w:val="00805D1B"/>
    <w:rsid w:val="00814436"/>
    <w:rsid w:val="00847EF6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9C156C"/>
    <w:rsid w:val="00A949FE"/>
    <w:rsid w:val="00AE2C6C"/>
    <w:rsid w:val="00AE75F0"/>
    <w:rsid w:val="00B517BC"/>
    <w:rsid w:val="00B52DD2"/>
    <w:rsid w:val="00BD21AF"/>
    <w:rsid w:val="00C019A5"/>
    <w:rsid w:val="00C1669A"/>
    <w:rsid w:val="00C4676A"/>
    <w:rsid w:val="00C833B7"/>
    <w:rsid w:val="00D56D5A"/>
    <w:rsid w:val="00D86FE1"/>
    <w:rsid w:val="00D90040"/>
    <w:rsid w:val="00DC7E96"/>
    <w:rsid w:val="00E02438"/>
    <w:rsid w:val="00E03E24"/>
    <w:rsid w:val="00E5333A"/>
    <w:rsid w:val="00E6118B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01E8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E6118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11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i.org/10.1093/iwc/iws02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3</Pages>
  <Words>988</Words>
  <Characters>5634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32</cp:revision>
  <cp:lastPrinted>2026-02-21T05:03:00Z</cp:lastPrinted>
  <dcterms:created xsi:type="dcterms:W3CDTF">2025-12-03T11:08:00Z</dcterms:created>
  <dcterms:modified xsi:type="dcterms:W3CDTF">2026-05-02T04:14:00Z</dcterms:modified>
</cp:coreProperties>
</file>