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F7BC1" w14:textId="77777777" w:rsidR="00D76A26" w:rsidRPr="00143E93" w:rsidRDefault="00D76A26" w:rsidP="00D76A2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143E93">
        <w:rPr>
          <w:rFonts w:ascii="Arial Rounded MT Bold" w:hAnsi="Arial Rounded MT Bold"/>
          <w:b/>
          <w:bCs/>
        </w:rPr>
        <w:t>REFERENCES</w:t>
      </w:r>
    </w:p>
    <w:p w14:paraId="580B78C6" w14:textId="77777777" w:rsidR="00D76A26" w:rsidRPr="00143E93" w:rsidRDefault="00D76A26" w:rsidP="00D76A2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B251FB7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Asian Development Bank. (2019). </w:t>
      </w:r>
      <w:r w:rsidRPr="00143E93">
        <w:rPr>
          <w:rStyle w:val="Emphasis"/>
          <w:rFonts w:ascii="Bahnschrift" w:hAnsi="Bahnschrift"/>
          <w:sz w:val="22"/>
          <w:szCs w:val="22"/>
        </w:rPr>
        <w:t>Skills development and employment in Asia: A regional analysis</w:t>
      </w:r>
      <w:r w:rsidRPr="00143E93">
        <w:rPr>
          <w:rFonts w:ascii="Bahnschrift" w:hAnsi="Bahnschrift"/>
          <w:sz w:val="22"/>
          <w:szCs w:val="22"/>
        </w:rPr>
        <w:t>. ADB.</w:t>
      </w:r>
    </w:p>
    <w:p w14:paraId="6A3E9CE0" w14:textId="77777777" w:rsidR="00D76A26" w:rsidRPr="00143E93" w:rsidRDefault="00D76A26" w:rsidP="00D76A26">
      <w:pPr>
        <w:pStyle w:val="NormalWeb"/>
        <w:spacing w:after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Allais, S. (2012). Will skills save us? Rethinking the relationships between vocational education, skills development policies, and social policy in South Africa. </w:t>
      </w:r>
      <w:r w:rsidRPr="00143E93">
        <w:rPr>
          <w:rFonts w:ascii="Bahnschrift" w:hAnsi="Bahnschrift"/>
          <w:i/>
          <w:iCs/>
          <w:sz w:val="22"/>
          <w:szCs w:val="22"/>
        </w:rPr>
        <w:t>International Journal of Educational Development,</w:t>
      </w:r>
      <w:r w:rsidRPr="00143E93">
        <w:rPr>
          <w:rFonts w:ascii="Bahnschrift" w:hAnsi="Bahnschrift"/>
          <w:sz w:val="22"/>
          <w:szCs w:val="22"/>
        </w:rPr>
        <w:t xml:space="preserve"> </w:t>
      </w:r>
      <w:r w:rsidRPr="003E0899">
        <w:rPr>
          <w:rFonts w:ascii="Bahnschrift" w:hAnsi="Bahnschrift"/>
          <w:i/>
          <w:iCs/>
          <w:sz w:val="22"/>
          <w:szCs w:val="22"/>
        </w:rPr>
        <w:t>32</w:t>
      </w:r>
      <w:r w:rsidRPr="00143E93">
        <w:rPr>
          <w:rFonts w:ascii="Bahnschrift" w:hAnsi="Bahnschrift"/>
          <w:sz w:val="22"/>
          <w:szCs w:val="22"/>
        </w:rPr>
        <w:t xml:space="preserve">(5), 632–642. </w:t>
      </w:r>
      <w:hyperlink r:id="rId7" w:history="1">
        <w:r w:rsidRPr="00143E93">
          <w:rPr>
            <w:rStyle w:val="Hyperlink"/>
            <w:rFonts w:ascii="Bahnschrift" w:hAnsi="Bahnschrift"/>
            <w:color w:val="auto"/>
            <w:sz w:val="22"/>
            <w:szCs w:val="22"/>
            <w:u w:val="none"/>
          </w:rPr>
          <w:t>https://doi.org/10.1016/j.ijedudev.2012.01.001</w:t>
        </w:r>
      </w:hyperlink>
    </w:p>
    <w:p w14:paraId="7F151EB4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Byrnes, J. P., Miller, D. C., &amp; Schafer, W. D. (1999). Gender differences in risk taking: A meta-analysis. </w:t>
      </w:r>
      <w:r w:rsidRPr="00143E93">
        <w:rPr>
          <w:rFonts w:ascii="Bahnschrift" w:hAnsi="Bahnschrift"/>
          <w:i/>
          <w:iCs/>
          <w:sz w:val="22"/>
          <w:szCs w:val="22"/>
        </w:rPr>
        <w:t>Psychological Bulletin</w:t>
      </w:r>
      <w:r w:rsidRPr="00143E93">
        <w:rPr>
          <w:rFonts w:ascii="Bahnschrift" w:hAnsi="Bahnschrift"/>
          <w:sz w:val="22"/>
          <w:szCs w:val="22"/>
        </w:rPr>
        <w:t xml:space="preserve">, </w:t>
      </w:r>
      <w:r w:rsidRPr="003E0899">
        <w:rPr>
          <w:rFonts w:ascii="Bahnschrift" w:hAnsi="Bahnschrift"/>
          <w:i/>
          <w:iCs/>
          <w:sz w:val="22"/>
          <w:szCs w:val="22"/>
        </w:rPr>
        <w:t>125</w:t>
      </w:r>
      <w:r w:rsidRPr="00143E93">
        <w:rPr>
          <w:rFonts w:ascii="Bahnschrift" w:hAnsi="Bahnschrift"/>
          <w:sz w:val="22"/>
          <w:szCs w:val="22"/>
        </w:rPr>
        <w:t xml:space="preserve">(3), 367–383. </w:t>
      </w:r>
      <w:hyperlink r:id="rId8" w:history="1">
        <w:r w:rsidRPr="00143E93">
          <w:rPr>
            <w:rStyle w:val="Hyperlink"/>
            <w:rFonts w:ascii="Bahnschrift" w:hAnsi="Bahnschrift"/>
            <w:color w:val="auto"/>
            <w:sz w:val="22"/>
            <w:szCs w:val="22"/>
            <w:u w:val="none"/>
          </w:rPr>
          <w:t>https://doi.org/10.1037/0033-2909.125.3.367</w:t>
        </w:r>
      </w:hyperlink>
    </w:p>
    <w:p w14:paraId="6847DDB8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2811BF46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Dash, Kabita &amp; Dash, Susanta Kumar &amp; </w:t>
      </w:r>
      <w:proofErr w:type="spellStart"/>
      <w:r w:rsidRPr="00143E93">
        <w:rPr>
          <w:rFonts w:ascii="Bahnschrift" w:hAnsi="Bahnschrift"/>
          <w:sz w:val="22"/>
          <w:szCs w:val="22"/>
        </w:rPr>
        <w:t>Satpathy</w:t>
      </w:r>
      <w:proofErr w:type="spellEnd"/>
      <w:r w:rsidRPr="00143E93">
        <w:rPr>
          <w:rFonts w:ascii="Bahnschrift" w:hAnsi="Bahnschrift"/>
          <w:sz w:val="22"/>
          <w:szCs w:val="22"/>
        </w:rPr>
        <w:t xml:space="preserve">, </w:t>
      </w:r>
      <w:proofErr w:type="spellStart"/>
      <w:r w:rsidRPr="00143E93">
        <w:rPr>
          <w:rFonts w:ascii="Bahnschrift" w:hAnsi="Bahnschrift"/>
          <w:sz w:val="22"/>
          <w:szCs w:val="22"/>
        </w:rPr>
        <w:t>Swayamprabha</w:t>
      </w:r>
      <w:proofErr w:type="spellEnd"/>
      <w:r w:rsidRPr="00143E93">
        <w:rPr>
          <w:rFonts w:ascii="Bahnschrift" w:hAnsi="Bahnschrift"/>
          <w:sz w:val="22"/>
          <w:szCs w:val="22"/>
        </w:rPr>
        <w:t xml:space="preserve">. (2021). A Study on Gender Differences in Workplace Communication across Organizations. </w:t>
      </w:r>
      <w:r w:rsidRPr="00143E93">
        <w:rPr>
          <w:rFonts w:ascii="Bahnschrift" w:hAnsi="Bahnschrift"/>
          <w:i/>
          <w:iCs/>
          <w:sz w:val="22"/>
          <w:szCs w:val="22"/>
        </w:rPr>
        <w:t>Rupkatha Journal on Interdisciplinary Studies in Humanities</w:t>
      </w:r>
      <w:r w:rsidRPr="00143E93">
        <w:rPr>
          <w:rFonts w:ascii="Bahnschrift" w:hAnsi="Bahnschrift"/>
          <w:sz w:val="22"/>
          <w:szCs w:val="22"/>
        </w:rPr>
        <w:t>. 13. 10.21659/</w:t>
      </w:r>
      <w:proofErr w:type="gramStart"/>
      <w:r w:rsidRPr="00143E93">
        <w:rPr>
          <w:rFonts w:ascii="Bahnschrift" w:hAnsi="Bahnschrift"/>
          <w:sz w:val="22"/>
          <w:szCs w:val="22"/>
        </w:rPr>
        <w:t>rupkatha.v</w:t>
      </w:r>
      <w:proofErr w:type="gramEnd"/>
      <w:r w:rsidRPr="00143E93">
        <w:rPr>
          <w:rFonts w:ascii="Bahnschrift" w:hAnsi="Bahnschrift"/>
          <w:sz w:val="22"/>
          <w:szCs w:val="22"/>
        </w:rPr>
        <w:t>13n3.15.</w:t>
      </w:r>
    </w:p>
    <w:p w14:paraId="4BE3BBB1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7AA45847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Department of Education, [DepEd]. (2016). </w:t>
      </w:r>
      <w:r w:rsidRPr="00143E93">
        <w:rPr>
          <w:rStyle w:val="Emphasis"/>
          <w:rFonts w:ascii="Bahnschrift" w:hAnsi="Bahnschrift"/>
          <w:sz w:val="22"/>
          <w:szCs w:val="22"/>
        </w:rPr>
        <w:t>K to 12 toolkit: Senior high school technical-vocational-livelihood track</w:t>
      </w:r>
      <w:r w:rsidRPr="00143E93">
        <w:rPr>
          <w:rFonts w:ascii="Bahnschrift" w:hAnsi="Bahnschrift"/>
          <w:sz w:val="22"/>
          <w:szCs w:val="22"/>
        </w:rPr>
        <w:t>. DepEd Philippines.</w:t>
      </w:r>
    </w:p>
    <w:p w14:paraId="0DDB99FA" w14:textId="77777777" w:rsidR="00D76A26" w:rsidRPr="00143E93" w:rsidRDefault="00D76A26" w:rsidP="00D76A26">
      <w:pPr>
        <w:pStyle w:val="NormalWeb"/>
        <w:spacing w:before="0" w:beforeAutospacing="0" w:after="0" w:afterAutospacing="0"/>
        <w:jc w:val="both"/>
        <w:rPr>
          <w:rFonts w:ascii="Bahnschrift" w:hAnsi="Bahnschrift"/>
          <w:sz w:val="22"/>
          <w:szCs w:val="22"/>
        </w:rPr>
      </w:pPr>
    </w:p>
    <w:p w14:paraId="3CAEBACD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International </w:t>
      </w:r>
      <w:proofErr w:type="spellStart"/>
      <w:r w:rsidRPr="00143E93">
        <w:rPr>
          <w:rFonts w:ascii="Bahnschrift" w:hAnsi="Bahnschrift"/>
          <w:sz w:val="22"/>
          <w:szCs w:val="22"/>
        </w:rPr>
        <w:t>Labour</w:t>
      </w:r>
      <w:proofErr w:type="spellEnd"/>
      <w:r w:rsidRPr="00143E93">
        <w:rPr>
          <w:rFonts w:ascii="Bahnschrift" w:hAnsi="Bahnschrift"/>
          <w:sz w:val="22"/>
          <w:szCs w:val="22"/>
        </w:rPr>
        <w:t xml:space="preserve"> Organization, [ILO]. (2020). </w:t>
      </w:r>
      <w:r w:rsidRPr="00143E93">
        <w:rPr>
          <w:rStyle w:val="Emphasis"/>
          <w:rFonts w:ascii="Bahnschrift" w:hAnsi="Bahnschrift"/>
          <w:sz w:val="22"/>
          <w:szCs w:val="22"/>
        </w:rPr>
        <w:t>Global employment trends for youth 2020: Technology and the future of jobs</w:t>
      </w:r>
      <w:r w:rsidRPr="00143E93">
        <w:rPr>
          <w:rFonts w:ascii="Bahnschrift" w:hAnsi="Bahnschrift"/>
          <w:sz w:val="22"/>
          <w:szCs w:val="22"/>
        </w:rPr>
        <w:t>. ILO.</w:t>
      </w:r>
    </w:p>
    <w:p w14:paraId="1641200B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5B770A1B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Jackson, D. (2015). Employability skill development in work-integrated learning: Barriers and best practice. </w:t>
      </w:r>
      <w:r w:rsidRPr="00143E93">
        <w:rPr>
          <w:rStyle w:val="Emphasis"/>
          <w:rFonts w:ascii="Bahnschrift" w:hAnsi="Bahnschrift"/>
          <w:sz w:val="22"/>
          <w:szCs w:val="22"/>
        </w:rPr>
        <w:t>Studies in Higher Education, 40</w:t>
      </w:r>
      <w:r w:rsidRPr="00143E93">
        <w:rPr>
          <w:rFonts w:ascii="Bahnschrift" w:hAnsi="Bahnschrift"/>
          <w:sz w:val="22"/>
          <w:szCs w:val="22"/>
        </w:rPr>
        <w:t>(2), 350–367. https://doi.org/10.1080/03075079.2013.842221</w:t>
      </w:r>
    </w:p>
    <w:p w14:paraId="00CB8BEC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1BC3959C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i/>
          <w:iCs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Kovalev, A., Stefanac, N., &amp; </w:t>
      </w:r>
      <w:proofErr w:type="spellStart"/>
      <w:r w:rsidRPr="00143E93">
        <w:rPr>
          <w:rFonts w:ascii="Bahnschrift" w:hAnsi="Bahnschrift"/>
          <w:sz w:val="22"/>
          <w:szCs w:val="22"/>
        </w:rPr>
        <w:t>Rizoiu</w:t>
      </w:r>
      <w:proofErr w:type="spellEnd"/>
      <w:r w:rsidRPr="00143E93">
        <w:rPr>
          <w:rFonts w:ascii="Bahnschrift" w:hAnsi="Bahnschrift"/>
          <w:sz w:val="22"/>
          <w:szCs w:val="22"/>
        </w:rPr>
        <w:t xml:space="preserve">, M. (2025). Skill-Driven Certification Pathways: Measuring Industry Training Impact on Graduate Employability. </w:t>
      </w:r>
      <w:proofErr w:type="spellStart"/>
      <w:r w:rsidRPr="00143E93">
        <w:rPr>
          <w:rFonts w:ascii="Bahnschrift" w:hAnsi="Bahnschrift"/>
          <w:i/>
          <w:iCs/>
          <w:sz w:val="22"/>
          <w:szCs w:val="22"/>
        </w:rPr>
        <w:t>ArXiv</w:t>
      </w:r>
      <w:proofErr w:type="spellEnd"/>
      <w:r w:rsidRPr="00143E93">
        <w:rPr>
          <w:rFonts w:ascii="Bahnschrift" w:hAnsi="Bahnschrift"/>
          <w:i/>
          <w:iCs/>
          <w:sz w:val="22"/>
          <w:szCs w:val="22"/>
        </w:rPr>
        <w:t>, abs/2506.04588.</w:t>
      </w:r>
    </w:p>
    <w:p w14:paraId="394F2FFB" w14:textId="77777777" w:rsidR="00D76A26" w:rsidRPr="00143E93" w:rsidRDefault="00D76A26" w:rsidP="00D76A26">
      <w:pPr>
        <w:pStyle w:val="NormalWeb"/>
        <w:spacing w:after="0"/>
        <w:ind w:left="709" w:hanging="709"/>
        <w:jc w:val="both"/>
        <w:rPr>
          <w:rFonts w:ascii="Bahnschrift" w:hAnsi="Bahnschrift"/>
          <w:sz w:val="22"/>
          <w:szCs w:val="22"/>
        </w:rPr>
      </w:pPr>
      <w:proofErr w:type="spellStart"/>
      <w:r w:rsidRPr="00143E93">
        <w:rPr>
          <w:rFonts w:ascii="Bahnschrift" w:hAnsi="Bahnschrift"/>
          <w:sz w:val="22"/>
          <w:szCs w:val="22"/>
        </w:rPr>
        <w:t>Leibing</w:t>
      </w:r>
      <w:proofErr w:type="spellEnd"/>
      <w:r w:rsidRPr="00143E93">
        <w:rPr>
          <w:rFonts w:ascii="Bahnschrift" w:hAnsi="Bahnschrift"/>
          <w:sz w:val="22"/>
          <w:szCs w:val="22"/>
        </w:rPr>
        <w:t xml:space="preserve">, Andreas (2026): Skill Substitution, Expectations, and the Business Cycle, </w:t>
      </w:r>
      <w:r w:rsidRPr="00143E93">
        <w:rPr>
          <w:rFonts w:ascii="Bahnschrift" w:hAnsi="Bahnschrift"/>
          <w:i/>
          <w:iCs/>
          <w:sz w:val="22"/>
          <w:szCs w:val="22"/>
        </w:rPr>
        <w:t xml:space="preserve">econ.GN, </w:t>
      </w:r>
      <w:proofErr w:type="spellStart"/>
      <w:r w:rsidRPr="00143E93">
        <w:rPr>
          <w:rFonts w:ascii="Bahnschrift" w:hAnsi="Bahnschrift"/>
          <w:i/>
          <w:iCs/>
          <w:sz w:val="22"/>
          <w:szCs w:val="22"/>
        </w:rPr>
        <w:t>arXiv</w:t>
      </w:r>
      <w:proofErr w:type="spellEnd"/>
      <w:r w:rsidRPr="00143E93">
        <w:rPr>
          <w:rFonts w:ascii="Bahnschrift" w:hAnsi="Bahnschrift"/>
          <w:i/>
          <w:iCs/>
          <w:sz w:val="22"/>
          <w:szCs w:val="22"/>
        </w:rPr>
        <w:t>, Ithaca, New York</w:t>
      </w:r>
      <w:r w:rsidRPr="00143E93">
        <w:rPr>
          <w:rFonts w:ascii="Bahnschrift" w:hAnsi="Bahnschrift"/>
          <w:sz w:val="22"/>
          <w:szCs w:val="22"/>
        </w:rPr>
        <w:t>, https://doi.org/10.48550/arXiv.2602.02483</w:t>
      </w:r>
    </w:p>
    <w:p w14:paraId="2DF078E7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McMillan, J. H., &amp; Schumacher, S. (2010). </w:t>
      </w:r>
      <w:r w:rsidRPr="00143E93">
        <w:rPr>
          <w:rFonts w:ascii="Bahnschrift" w:hAnsi="Bahnschrift"/>
          <w:i/>
          <w:iCs/>
          <w:sz w:val="22"/>
          <w:szCs w:val="22"/>
        </w:rPr>
        <w:t>Research in education: Evidence-based inquiry</w:t>
      </w:r>
      <w:r w:rsidRPr="00143E93">
        <w:rPr>
          <w:rFonts w:ascii="Bahnschrift" w:hAnsi="Bahnschrift"/>
          <w:sz w:val="22"/>
          <w:szCs w:val="22"/>
        </w:rPr>
        <w:t xml:space="preserve"> (7th ed.). Pearson.</w:t>
      </w:r>
    </w:p>
    <w:p w14:paraId="7D5B0770" w14:textId="77777777" w:rsidR="00D76A26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28394581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Mariano, R. P., &amp; Tantoco, L. F. (2023). Assessment of employability skills of technical-vocational education and training (TVET) graduates: Basis for an enhancement program. </w:t>
      </w:r>
      <w:r w:rsidRPr="00143E93">
        <w:rPr>
          <w:rStyle w:val="Emphasis"/>
          <w:rFonts w:ascii="Bahnschrift" w:hAnsi="Bahnschrift"/>
          <w:sz w:val="22"/>
          <w:szCs w:val="22"/>
        </w:rPr>
        <w:t>International Journal of Multidisciplinary: Applied Business and Education Research, 4</w:t>
      </w:r>
      <w:r w:rsidRPr="00143E93">
        <w:rPr>
          <w:rFonts w:ascii="Bahnschrift" w:hAnsi="Bahnschrift"/>
          <w:sz w:val="22"/>
          <w:szCs w:val="22"/>
        </w:rPr>
        <w:t>(5), 1734–1747. https://doi.org/10.11594/ijmaber.04.05.34</w:t>
      </w:r>
    </w:p>
    <w:p w14:paraId="382C3C68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141633C1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i/>
          <w:iCs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Miranda, J.P., Tayag, M.I., &amp; Canlas, J.D. (2025). Cybersecurity skills in new graduates: a Philippine perspective. </w:t>
      </w:r>
      <w:proofErr w:type="spellStart"/>
      <w:r w:rsidRPr="00143E93">
        <w:rPr>
          <w:rFonts w:ascii="Bahnschrift" w:hAnsi="Bahnschrift"/>
          <w:i/>
          <w:iCs/>
          <w:sz w:val="22"/>
          <w:szCs w:val="22"/>
        </w:rPr>
        <w:t>ArXiv</w:t>
      </w:r>
      <w:proofErr w:type="spellEnd"/>
      <w:r w:rsidRPr="00143E93">
        <w:rPr>
          <w:rFonts w:ascii="Bahnschrift" w:hAnsi="Bahnschrift"/>
          <w:i/>
          <w:iCs/>
          <w:sz w:val="22"/>
          <w:szCs w:val="22"/>
        </w:rPr>
        <w:t>, abs/2512.14778.</w:t>
      </w:r>
    </w:p>
    <w:p w14:paraId="32CC4204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610D5131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Orbeta, A. C., Jr., &amp; </w:t>
      </w:r>
      <w:proofErr w:type="spellStart"/>
      <w:r w:rsidRPr="00143E93">
        <w:rPr>
          <w:rFonts w:ascii="Bahnschrift" w:hAnsi="Bahnschrift"/>
          <w:sz w:val="22"/>
          <w:szCs w:val="22"/>
        </w:rPr>
        <w:t>Paqueo</w:t>
      </w:r>
      <w:proofErr w:type="spellEnd"/>
      <w:r w:rsidRPr="00143E93">
        <w:rPr>
          <w:rFonts w:ascii="Bahnschrift" w:hAnsi="Bahnschrift"/>
          <w:sz w:val="22"/>
          <w:szCs w:val="22"/>
        </w:rPr>
        <w:t xml:space="preserve">, V. B. (2017). </w:t>
      </w:r>
      <w:r w:rsidRPr="00143E93">
        <w:rPr>
          <w:rFonts w:ascii="Bahnschrift" w:hAnsi="Bahnschrift"/>
          <w:i/>
          <w:iCs/>
          <w:sz w:val="22"/>
          <w:szCs w:val="22"/>
        </w:rPr>
        <w:t>Who are the NEET in the Philippines</w:t>
      </w:r>
      <w:r w:rsidRPr="00143E93">
        <w:rPr>
          <w:rFonts w:ascii="Bahnschrift" w:hAnsi="Bahnschrift"/>
          <w:sz w:val="22"/>
          <w:szCs w:val="22"/>
        </w:rPr>
        <w:t xml:space="preserve">? Philippine Institute for Development Studies. </w:t>
      </w:r>
      <w:hyperlink r:id="rId9" w:history="1">
        <w:r w:rsidRPr="00143E93">
          <w:rPr>
            <w:rStyle w:val="Hyperlink"/>
            <w:rFonts w:ascii="Bahnschrift" w:hAnsi="Bahnschrift"/>
            <w:color w:val="auto"/>
            <w:sz w:val="22"/>
            <w:szCs w:val="22"/>
            <w:u w:val="none"/>
          </w:rPr>
          <w:t>https://pidswebs.pids.gov.ph/CDN/PUBLICATIONS/pidsdps1714.pdf</w:t>
        </w:r>
      </w:hyperlink>
    </w:p>
    <w:p w14:paraId="56F0B86A" w14:textId="77777777" w:rsidR="00D76A26" w:rsidRPr="00143E93" w:rsidRDefault="00D76A26" w:rsidP="00D76A26">
      <w:pPr>
        <w:pStyle w:val="NormalWeb"/>
        <w:spacing w:after="0"/>
        <w:ind w:left="709" w:hanging="709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lastRenderedPageBreak/>
        <w:t xml:space="preserve">Pascual, E. (2024). Impact assessment of TESDA’s Technical Vocational Education and Training (TVET) programs on employment opportunities in the Philippines. </w:t>
      </w:r>
      <w:r w:rsidRPr="00143E93">
        <w:rPr>
          <w:rFonts w:ascii="Bahnschrift" w:hAnsi="Bahnschrift"/>
          <w:i/>
          <w:iCs/>
          <w:sz w:val="22"/>
          <w:szCs w:val="22"/>
        </w:rPr>
        <w:t>International Journal of Academic Multidisciplinary Research</w:t>
      </w:r>
      <w:r w:rsidRPr="00143E93">
        <w:rPr>
          <w:rFonts w:ascii="Bahnschrift" w:hAnsi="Bahnschrift"/>
          <w:sz w:val="22"/>
          <w:szCs w:val="22"/>
        </w:rPr>
        <w:t>, 8(11), 294–298. https://doi.org/10.5281/zenodo.1041202</w:t>
      </w:r>
    </w:p>
    <w:p w14:paraId="6BDF9EC2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Roble, Donnie Marc Louie. (2021). Competency Level, Employers' Expectations and Work Immersion Performance of Senior High School Technical-vocational and Livelihood (TVL) Students. </w:t>
      </w:r>
      <w:r w:rsidRPr="00143E93">
        <w:rPr>
          <w:rFonts w:ascii="Bahnschrift" w:hAnsi="Bahnschrift"/>
          <w:i/>
          <w:iCs/>
          <w:sz w:val="22"/>
          <w:szCs w:val="22"/>
        </w:rPr>
        <w:t>Asian Journal on Perspectives in Education</w:t>
      </w:r>
      <w:r w:rsidRPr="00143E93">
        <w:rPr>
          <w:rFonts w:ascii="Bahnschrift" w:hAnsi="Bahnschrift"/>
          <w:sz w:val="22"/>
          <w:szCs w:val="22"/>
        </w:rPr>
        <w:t>. 10.63529/</w:t>
      </w:r>
      <w:proofErr w:type="gramStart"/>
      <w:r w:rsidRPr="00143E93">
        <w:rPr>
          <w:rFonts w:ascii="Bahnschrift" w:hAnsi="Bahnschrift"/>
          <w:sz w:val="22"/>
          <w:szCs w:val="22"/>
        </w:rPr>
        <w:t>ajpe.v</w:t>
      </w:r>
      <w:proofErr w:type="gramEnd"/>
      <w:r w:rsidRPr="00143E93">
        <w:rPr>
          <w:rFonts w:ascii="Bahnschrift" w:hAnsi="Bahnschrift"/>
          <w:sz w:val="22"/>
          <w:szCs w:val="22"/>
        </w:rPr>
        <w:t>2i1.7657.</w:t>
      </w:r>
    </w:p>
    <w:p w14:paraId="7CDA7A06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64883AA1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Sanchez, A. (2023). Employability of Grade 12 Technical Vocational Livelihood (TVL) graduates from schools in highly industrialized districts of Laguna. </w:t>
      </w:r>
      <w:r w:rsidRPr="00143E93">
        <w:rPr>
          <w:rFonts w:ascii="Bahnschrift" w:hAnsi="Bahnschrift"/>
          <w:i/>
          <w:iCs/>
          <w:sz w:val="22"/>
          <w:szCs w:val="22"/>
        </w:rPr>
        <w:t>Psychology and Education: A Multidisciplinary Journal</w:t>
      </w:r>
      <w:r w:rsidRPr="00143E93">
        <w:rPr>
          <w:rFonts w:ascii="Bahnschrift" w:hAnsi="Bahnschrift"/>
          <w:sz w:val="22"/>
          <w:szCs w:val="22"/>
        </w:rPr>
        <w:t xml:space="preserve">, </w:t>
      </w:r>
      <w:r w:rsidRPr="003E0899">
        <w:rPr>
          <w:rFonts w:ascii="Bahnschrift" w:hAnsi="Bahnschrift"/>
          <w:i/>
          <w:iCs/>
          <w:sz w:val="22"/>
          <w:szCs w:val="22"/>
        </w:rPr>
        <w:t>12</w:t>
      </w:r>
      <w:r w:rsidRPr="00143E93">
        <w:rPr>
          <w:rFonts w:ascii="Bahnschrift" w:hAnsi="Bahnschrift"/>
          <w:sz w:val="22"/>
          <w:szCs w:val="22"/>
        </w:rPr>
        <w:t>(10), 1142–1147.</w:t>
      </w:r>
    </w:p>
    <w:p w14:paraId="593E1578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3DCA7469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Technical Education and Skills Development Authority, (2018). </w:t>
      </w:r>
      <w:r w:rsidRPr="00143E93">
        <w:rPr>
          <w:rStyle w:val="Emphasis"/>
          <w:rFonts w:ascii="Bahnschrift" w:hAnsi="Bahnschrift"/>
          <w:sz w:val="22"/>
          <w:szCs w:val="22"/>
        </w:rPr>
        <w:t>TESDA training regulations and certification system</w:t>
      </w:r>
      <w:r w:rsidRPr="00143E93">
        <w:rPr>
          <w:rFonts w:ascii="Bahnschrift" w:hAnsi="Bahnschrift"/>
          <w:sz w:val="22"/>
          <w:szCs w:val="22"/>
        </w:rPr>
        <w:t>.</w:t>
      </w:r>
    </w:p>
    <w:p w14:paraId="1AE0B57E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399F51FB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UNESCO. (2021). </w:t>
      </w:r>
      <w:r w:rsidRPr="006A66EC">
        <w:rPr>
          <w:rFonts w:ascii="Bahnschrift" w:hAnsi="Bahnschrift"/>
          <w:i/>
          <w:iCs/>
          <w:sz w:val="22"/>
          <w:szCs w:val="22"/>
        </w:rPr>
        <w:t xml:space="preserve">Reimagining our futures together: A new social contract for education. </w:t>
      </w:r>
      <w:r w:rsidRPr="00143E93">
        <w:rPr>
          <w:rFonts w:ascii="Bahnschrift" w:hAnsi="Bahnschrift"/>
          <w:sz w:val="22"/>
          <w:szCs w:val="22"/>
        </w:rPr>
        <w:t>United Nations Educational, Scientific and Cultural Organization. https://unesdoc.unesco.org/ark:/48223/pf0000379707</w:t>
      </w:r>
    </w:p>
    <w:p w14:paraId="14E355ED" w14:textId="77777777" w:rsidR="00D76A26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3018CE4B" w14:textId="4B764FE1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Valerio, E., &amp; Accad, A. (2025). Assessing the influence of the Technical Vocational Livelihood (TVL) track program on student academic success, career opportunities, and vocational competency. </w:t>
      </w:r>
      <w:r w:rsidRPr="001B3B88">
        <w:rPr>
          <w:rFonts w:ascii="Bahnschrift" w:hAnsi="Bahnschrift"/>
          <w:i/>
          <w:iCs/>
          <w:sz w:val="22"/>
          <w:szCs w:val="22"/>
        </w:rPr>
        <w:t>Psychology and Education: A Multidisciplinary Journal, 41</w:t>
      </w:r>
      <w:r w:rsidRPr="00143E93">
        <w:rPr>
          <w:rFonts w:ascii="Bahnschrift" w:hAnsi="Bahnschrift"/>
          <w:sz w:val="22"/>
          <w:szCs w:val="22"/>
        </w:rPr>
        <w:t>(4), 494–515.</w:t>
      </w:r>
    </w:p>
    <w:p w14:paraId="42AEF15B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color w:val="EE0000"/>
          <w:sz w:val="22"/>
          <w:szCs w:val="22"/>
        </w:rPr>
      </w:pPr>
    </w:p>
    <w:p w14:paraId="4C6E0F4B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World Bank. (2020). </w:t>
      </w:r>
      <w:r w:rsidRPr="00143E93">
        <w:rPr>
          <w:rFonts w:ascii="Bahnschrift" w:hAnsi="Bahnschrift"/>
          <w:i/>
          <w:iCs/>
          <w:sz w:val="22"/>
          <w:szCs w:val="22"/>
        </w:rPr>
        <w:t>Philippines jobs report: Navigating the labor market in a time of change.</w:t>
      </w:r>
      <w:r w:rsidRPr="00143E93">
        <w:rPr>
          <w:rFonts w:ascii="Bahnschrift" w:hAnsi="Bahnschrift"/>
          <w:sz w:val="22"/>
          <w:szCs w:val="22"/>
        </w:rPr>
        <w:t xml:space="preserve"> World Bank Group. https://documents.worldbank.org/en/publication/documents-reports/documentdetail/099635012082236012</w:t>
      </w:r>
    </w:p>
    <w:p w14:paraId="354D84EB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79F0E896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  <w:r w:rsidRPr="00143E93">
        <w:rPr>
          <w:rFonts w:ascii="Bahnschrift" w:hAnsi="Bahnschrift"/>
          <w:sz w:val="22"/>
          <w:szCs w:val="22"/>
        </w:rPr>
        <w:t xml:space="preserve">Yorke, M. (2006). </w:t>
      </w:r>
      <w:r w:rsidRPr="00143E93">
        <w:rPr>
          <w:rStyle w:val="Emphasis"/>
          <w:rFonts w:ascii="Bahnschrift" w:hAnsi="Bahnschrift"/>
          <w:sz w:val="22"/>
          <w:szCs w:val="22"/>
        </w:rPr>
        <w:t>Employability in higher education: What it is, what it is not</w:t>
      </w:r>
      <w:r w:rsidRPr="00143E93">
        <w:rPr>
          <w:rFonts w:ascii="Bahnschrift" w:hAnsi="Bahnschrift"/>
          <w:sz w:val="22"/>
          <w:szCs w:val="22"/>
        </w:rPr>
        <w:t xml:space="preserve">. </w:t>
      </w:r>
      <w:r w:rsidRPr="00143E93">
        <w:rPr>
          <w:rStyle w:val="Emphasis"/>
          <w:rFonts w:ascii="Bahnschrift" w:hAnsi="Bahnschrift"/>
          <w:i w:val="0"/>
          <w:iCs w:val="0"/>
          <w:sz w:val="22"/>
          <w:szCs w:val="22"/>
        </w:rPr>
        <w:t>Higher Education Academy</w:t>
      </w:r>
      <w:r w:rsidRPr="00143E93">
        <w:rPr>
          <w:rFonts w:ascii="Bahnschrift" w:hAnsi="Bahnschrift"/>
          <w:i/>
          <w:iCs/>
          <w:sz w:val="22"/>
          <w:szCs w:val="22"/>
        </w:rPr>
        <w:t>.</w:t>
      </w:r>
    </w:p>
    <w:p w14:paraId="2A17ABB1" w14:textId="77777777" w:rsidR="00D76A26" w:rsidRPr="00143E93" w:rsidRDefault="00D76A26" w:rsidP="00D76A26">
      <w:pPr>
        <w:pStyle w:val="NormalWeb"/>
        <w:spacing w:before="0" w:beforeAutospacing="0" w:after="0" w:afterAutospacing="0"/>
        <w:ind w:left="720" w:hanging="720"/>
        <w:jc w:val="both"/>
        <w:rPr>
          <w:rFonts w:ascii="Bahnschrift" w:hAnsi="Bahnschrift"/>
          <w:sz w:val="22"/>
          <w:szCs w:val="22"/>
        </w:rPr>
      </w:pPr>
    </w:p>
    <w:p w14:paraId="69228009" w14:textId="77777777" w:rsidR="00D76A26" w:rsidRPr="00143E93" w:rsidRDefault="00D76A26" w:rsidP="00D76A26">
      <w:pPr>
        <w:suppressLineNumbers/>
        <w:spacing w:after="0" w:line="240" w:lineRule="auto"/>
        <w:jc w:val="both"/>
        <w:rPr>
          <w:rFonts w:ascii="Bahnschrift" w:eastAsia="Times New Roman" w:hAnsi="Bahnschrift" w:cs="Times New Roman"/>
          <w:i/>
          <w:iCs/>
          <w:kern w:val="0"/>
          <w:lang w:eastAsia="en-PH"/>
        </w:rPr>
      </w:pPr>
      <w:r w:rsidRPr="00143E93">
        <w:rPr>
          <w:rFonts w:ascii="Bahnschrift" w:eastAsia="Times New Roman" w:hAnsi="Bahnschrift" w:cs="Times New Roman"/>
          <w:kern w:val="0"/>
          <w:lang w:eastAsia="en-PH"/>
        </w:rPr>
        <w:t xml:space="preserve">Yoshida, Y. M. (2025). </w:t>
      </w:r>
      <w:r w:rsidRPr="00143E93">
        <w:rPr>
          <w:rFonts w:ascii="Bahnschrift" w:eastAsia="Times New Roman" w:hAnsi="Bahnschrift" w:cs="Times New Roman"/>
          <w:i/>
          <w:iCs/>
          <w:kern w:val="0"/>
          <w:lang w:eastAsia="en-PH"/>
        </w:rPr>
        <w:t xml:space="preserve">Work readiness of senior </w:t>
      </w:r>
    </w:p>
    <w:p w14:paraId="6B96D832" w14:textId="77777777" w:rsidR="00D76A26" w:rsidRPr="006F2F80" w:rsidRDefault="00D76A26" w:rsidP="00D76A26">
      <w:pPr>
        <w:suppressLineNumbers/>
        <w:spacing w:after="0" w:line="240" w:lineRule="auto"/>
        <w:ind w:left="720"/>
        <w:jc w:val="both"/>
        <w:rPr>
          <w:rFonts w:ascii="Bahnschrift" w:hAnsi="Bahnschrift"/>
        </w:rPr>
      </w:pPr>
      <w:r w:rsidRPr="00143E93">
        <w:rPr>
          <w:rFonts w:ascii="Bahnschrift" w:eastAsia="Times New Roman" w:hAnsi="Bahnschrift" w:cs="Times New Roman"/>
          <w:i/>
          <w:iCs/>
          <w:kern w:val="0"/>
          <w:lang w:eastAsia="en-PH"/>
        </w:rPr>
        <w:t>high school students in the technical-vocational-livelihood track</w:t>
      </w:r>
      <w:r w:rsidRPr="00143E93">
        <w:rPr>
          <w:rFonts w:ascii="Bahnschrift" w:eastAsia="Times New Roman" w:hAnsi="Bahnschrift" w:cs="Times New Roman"/>
          <w:kern w:val="0"/>
          <w:lang w:eastAsia="en-PH"/>
        </w:rPr>
        <w:t>. https://doi.org/10.24036/2ytjvj68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3C70E" w14:textId="77777777" w:rsidR="00002881" w:rsidRDefault="00002881" w:rsidP="00290EE2">
      <w:pPr>
        <w:spacing w:after="0" w:line="240" w:lineRule="auto"/>
      </w:pPr>
      <w:r>
        <w:separator/>
      </w:r>
    </w:p>
  </w:endnote>
  <w:endnote w:type="continuationSeparator" w:id="0">
    <w:p w14:paraId="018368EF" w14:textId="77777777" w:rsidR="00002881" w:rsidRDefault="0000288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46A8F" w14:textId="77777777" w:rsidR="00002881" w:rsidRDefault="00002881" w:rsidP="00290EE2">
      <w:pPr>
        <w:spacing w:after="0" w:line="240" w:lineRule="auto"/>
      </w:pPr>
      <w:r>
        <w:separator/>
      </w:r>
    </w:p>
  </w:footnote>
  <w:footnote w:type="continuationSeparator" w:id="0">
    <w:p w14:paraId="25E169C4" w14:textId="77777777" w:rsidR="00002881" w:rsidRDefault="0000288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2881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2F2EA1"/>
    <w:rsid w:val="00330D2C"/>
    <w:rsid w:val="00370561"/>
    <w:rsid w:val="003970FD"/>
    <w:rsid w:val="003E0899"/>
    <w:rsid w:val="0044264E"/>
    <w:rsid w:val="00451A1D"/>
    <w:rsid w:val="00487414"/>
    <w:rsid w:val="004B00A8"/>
    <w:rsid w:val="004D5CA2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76A26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A2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qFormat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D76A26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D76A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37/0033-2909.125.3.36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16/j.ijedudev.2012.01.00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idswebs.pids.gov.ph/CDN/PUBLICATIONS/pidsdps1714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2026-05-10T14:48:00Z</dcterms:modified>
</cp:coreProperties>
</file>