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A2EE3" w14:textId="77777777" w:rsidR="00506620" w:rsidRPr="00425259" w:rsidRDefault="00506620" w:rsidP="00506620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  <w:color w:val="000000" w:themeColor="text1"/>
        </w:rPr>
      </w:pPr>
      <w:r w:rsidRPr="00425259">
        <w:rPr>
          <w:rFonts w:ascii="Arial Rounded MT Bold" w:hAnsi="Arial Rounded MT Bold"/>
          <w:b/>
          <w:bCs/>
          <w:color w:val="000000" w:themeColor="text1"/>
        </w:rPr>
        <w:t>REFERENCES</w:t>
      </w:r>
    </w:p>
    <w:p w14:paraId="1B156CBF" w14:textId="77777777" w:rsidR="00506620" w:rsidRPr="00425259" w:rsidRDefault="00506620" w:rsidP="00506620">
      <w:pPr>
        <w:suppressLineNumbers/>
        <w:spacing w:after="0" w:line="240" w:lineRule="auto"/>
        <w:jc w:val="both"/>
        <w:rPr>
          <w:rFonts w:ascii="Bahnschrift" w:hAnsi="Bahnschrift"/>
          <w:color w:val="000000" w:themeColor="text1"/>
        </w:rPr>
      </w:pPr>
    </w:p>
    <w:p w14:paraId="1FF98A4B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Almici, A. (2023). </w:t>
      </w:r>
      <w:r w:rsidRPr="00554433">
        <w:rPr>
          <w:rFonts w:ascii="Bahnschrift" w:hAnsi="Bahnschrift"/>
          <w:i/>
          <w:iCs/>
          <w:color w:val="000000" w:themeColor="text1"/>
        </w:rPr>
        <w:t>Triple bottom line.</w:t>
      </w:r>
      <w:r w:rsidRPr="00554433">
        <w:rPr>
          <w:rFonts w:ascii="Bahnschrift" w:hAnsi="Bahnschrift"/>
          <w:color w:val="000000" w:themeColor="text1"/>
        </w:rPr>
        <w:t xml:space="preserve"> In Encyclopedia of sustainable management (pp. 3775–3778). Springer. </w:t>
      </w:r>
      <w:hyperlink r:id="rId7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https://doi.org/10.1007/978-3-031-25984-5_402</w:t>
        </w:r>
      </w:hyperlink>
    </w:p>
    <w:p w14:paraId="433B2DD9" w14:textId="77777777" w:rsidR="00506620" w:rsidRPr="00554433" w:rsidRDefault="00506620" w:rsidP="00506620">
      <w:pPr>
        <w:suppressLineNumbers/>
        <w:spacing w:after="0" w:line="240" w:lineRule="auto"/>
        <w:jc w:val="both"/>
        <w:rPr>
          <w:rFonts w:ascii="Bahnschrift" w:hAnsi="Bahnschrift"/>
          <w:color w:val="000000" w:themeColor="text1"/>
        </w:rPr>
      </w:pPr>
    </w:p>
    <w:p w14:paraId="505AA610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  <w:shd w:val="clear" w:color="auto" w:fill="FFFFFF"/>
        </w:rPr>
        <w:t>Etikan I, Bala K. Sampling and sampling methods. </w:t>
      </w:r>
      <w:r w:rsidRPr="00554433">
        <w:rPr>
          <w:rFonts w:ascii="Bahnschrift" w:hAnsi="Bahnschrift"/>
          <w:i/>
          <w:iCs/>
          <w:color w:val="000000" w:themeColor="text1"/>
          <w:shd w:val="clear" w:color="auto" w:fill="FFFFFF"/>
        </w:rPr>
        <w:t>Biom Biostat Int J</w:t>
      </w:r>
      <w:r w:rsidRPr="00554433">
        <w:rPr>
          <w:rFonts w:ascii="Bahnschrift" w:hAnsi="Bahnschrift"/>
          <w:color w:val="000000" w:themeColor="text1"/>
          <w:shd w:val="clear" w:color="auto" w:fill="FFFFFF"/>
        </w:rPr>
        <w:t>. 2017;5(6):215</w:t>
      </w:r>
      <w:r w:rsidRPr="00554433">
        <w:rPr>
          <w:rFonts w:ascii="Arial" w:hAnsi="Arial" w:cs="Arial"/>
          <w:color w:val="000000" w:themeColor="text1"/>
          <w:shd w:val="clear" w:color="auto" w:fill="FFFFFF"/>
        </w:rPr>
        <w:t>‒</w:t>
      </w:r>
      <w:r w:rsidRPr="00554433">
        <w:rPr>
          <w:rFonts w:ascii="Bahnschrift" w:hAnsi="Bahnschrift"/>
          <w:color w:val="000000" w:themeColor="text1"/>
          <w:shd w:val="clear" w:color="auto" w:fill="FFFFFF"/>
        </w:rPr>
        <w:t>217 DOI: </w:t>
      </w:r>
      <w:hyperlink r:id="rId8" w:tgtFrame="_blank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  <w:shd w:val="clear" w:color="auto" w:fill="FFFFFF"/>
          </w:rPr>
          <w:t>10.15406/bbij.2017.05.00149</w:t>
        </w:r>
      </w:hyperlink>
    </w:p>
    <w:p w14:paraId="40A1918C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11598A9E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Bramwell, B., &amp; Lane, B. (2011). Critical research on the governance of tourism and sustainability. </w:t>
      </w:r>
      <w:r w:rsidRPr="00554433">
        <w:rPr>
          <w:rFonts w:ascii="Bahnschrift" w:hAnsi="Bahnschrift"/>
          <w:i/>
          <w:iCs/>
          <w:color w:val="000000" w:themeColor="text1"/>
        </w:rPr>
        <w:t>Journal of Sustainable Tourism, 19</w:t>
      </w:r>
      <w:r w:rsidRPr="00554433">
        <w:rPr>
          <w:rFonts w:ascii="Bahnschrift" w:hAnsi="Bahnschrift"/>
          <w:color w:val="000000" w:themeColor="text1"/>
        </w:rPr>
        <w:t xml:space="preserve">(4–5), 411–421. </w:t>
      </w:r>
      <w:hyperlink r:id="rId9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https://doi.org/10.1080/09669582.2011.580586</w:t>
        </w:r>
      </w:hyperlink>
    </w:p>
    <w:p w14:paraId="3327924F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1024C26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Bramwell, B., &amp; Lane, B. (2014). </w:t>
      </w:r>
      <w:r w:rsidRPr="00554433">
        <w:rPr>
          <w:rFonts w:ascii="Bahnschrift" w:hAnsi="Bahnschrift"/>
          <w:i/>
          <w:iCs/>
          <w:color w:val="000000" w:themeColor="text1"/>
        </w:rPr>
        <w:t>Tourism governance: Critical perspectives on governance and sustainability.</w:t>
      </w:r>
      <w:r w:rsidRPr="00554433">
        <w:rPr>
          <w:rFonts w:ascii="Bahnschrift" w:hAnsi="Bahnschrift"/>
          <w:color w:val="000000" w:themeColor="text1"/>
        </w:rPr>
        <w:t xml:space="preserve"> Routledge.</w:t>
      </w:r>
    </w:p>
    <w:p w14:paraId="6D42E43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3A3A53BF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Buhalis, D. (2006). SMEs in tourism. In D. Buhalis &amp; C. Costa (Eds.), </w:t>
      </w:r>
      <w:r w:rsidRPr="00554433">
        <w:rPr>
          <w:rFonts w:ascii="Bahnschrift" w:hAnsi="Bahnschrift"/>
          <w:i/>
          <w:iCs/>
          <w:color w:val="000000" w:themeColor="text1"/>
        </w:rPr>
        <w:t xml:space="preserve">Tourism management dynamics </w:t>
      </w:r>
      <w:r w:rsidRPr="00554433">
        <w:rPr>
          <w:rFonts w:ascii="Bahnschrift" w:hAnsi="Bahnschrift"/>
          <w:color w:val="000000" w:themeColor="text1"/>
        </w:rPr>
        <w:t xml:space="preserve">(pp. 116–129). Elsevier. </w:t>
      </w:r>
      <w:hyperlink r:id="rId10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https://doi.org/10.1016/B978-0-7506-6378-6.50023-8</w:t>
        </w:r>
      </w:hyperlink>
    </w:p>
    <w:p w14:paraId="6AAB95BC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539C34D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Creswell, J. W. (2014). </w:t>
      </w:r>
      <w:r w:rsidRPr="00554433">
        <w:rPr>
          <w:rFonts w:ascii="Bahnschrift" w:hAnsi="Bahnschrift"/>
          <w:i/>
          <w:iCs/>
          <w:color w:val="000000" w:themeColor="text1"/>
        </w:rPr>
        <w:t>Research design: Qualitative, quantitative, and mixed methods approaches</w:t>
      </w:r>
      <w:r w:rsidRPr="00554433">
        <w:rPr>
          <w:rFonts w:ascii="Bahnschrift" w:hAnsi="Bahnschrift"/>
          <w:color w:val="000000" w:themeColor="text1"/>
        </w:rPr>
        <w:t xml:space="preserve"> (4th ed.). SAGE Publications.</w:t>
      </w:r>
    </w:p>
    <w:p w14:paraId="2AA443B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7AC6D058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Ellis, A., Park, E., Kim, S., &amp; Yeoman, I. (2018). What is food tourism? </w:t>
      </w:r>
      <w:r w:rsidRPr="00554433">
        <w:rPr>
          <w:rFonts w:ascii="Bahnschrift" w:hAnsi="Bahnschrift"/>
          <w:i/>
          <w:iCs/>
          <w:color w:val="000000" w:themeColor="text1"/>
        </w:rPr>
        <w:t>Tourism Management, 68,</w:t>
      </w:r>
      <w:r w:rsidRPr="00554433">
        <w:rPr>
          <w:rFonts w:ascii="Bahnschrift" w:hAnsi="Bahnschrift"/>
          <w:color w:val="000000" w:themeColor="text1"/>
        </w:rPr>
        <w:t xml:space="preserve"> 250–263. </w:t>
      </w:r>
      <w:hyperlink r:id="rId11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https://doi.org/10.1016/j.tourman.2018.03.025</w:t>
        </w:r>
      </w:hyperlink>
    </w:p>
    <w:p w14:paraId="3833AC64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31694BE0" w14:textId="77777777" w:rsidR="00506620" w:rsidRPr="00554433" w:rsidRDefault="00506620" w:rsidP="00506620">
      <w:pPr>
        <w:spacing w:after="0" w:line="240" w:lineRule="auto"/>
        <w:ind w:left="601" w:hanging="601"/>
        <w:jc w:val="both"/>
        <w:rPr>
          <w:rFonts w:ascii="Bahnschrift" w:eastAsia="Times New Roman" w:hAnsi="Bahnschrift" w:cs="Arial"/>
          <w:color w:val="000000" w:themeColor="text1"/>
          <w:kern w:val="0"/>
          <w14:ligatures w14:val="none"/>
        </w:rPr>
      </w:pPr>
      <w:r w:rsidRPr="00554433">
        <w:rPr>
          <w:rFonts w:ascii="Bahnschrift" w:eastAsia="Times New Roman" w:hAnsi="Bahnschrift" w:cs="Arial"/>
          <w:color w:val="000000" w:themeColor="text1"/>
          <w:kern w:val="0"/>
          <w14:ligatures w14:val="none"/>
        </w:rPr>
        <w:t>Freeman, R.E. (1984)</w:t>
      </w:r>
      <w:r>
        <w:rPr>
          <w:rFonts w:ascii="Bahnschrift" w:eastAsia="Times New Roman" w:hAnsi="Bahnschrift" w:cs="Arial"/>
          <w:color w:val="000000" w:themeColor="text1"/>
          <w:kern w:val="0"/>
          <w14:ligatures w14:val="none"/>
        </w:rPr>
        <w:t>.</w:t>
      </w:r>
      <w:r w:rsidRPr="00554433">
        <w:rPr>
          <w:rFonts w:ascii="Bahnschrift" w:eastAsia="Times New Roman" w:hAnsi="Bahnschrift" w:cs="Arial"/>
          <w:color w:val="000000" w:themeColor="text1"/>
          <w:kern w:val="0"/>
          <w14:ligatures w14:val="none"/>
        </w:rPr>
        <w:t xml:space="preserve"> </w:t>
      </w:r>
      <w:r w:rsidRPr="00554433">
        <w:rPr>
          <w:rFonts w:ascii="Bahnschrift" w:eastAsia="Times New Roman" w:hAnsi="Bahnschrift" w:cs="Arial"/>
          <w:i/>
          <w:iCs/>
          <w:color w:val="000000" w:themeColor="text1"/>
          <w:kern w:val="0"/>
          <w14:ligatures w14:val="none"/>
        </w:rPr>
        <w:t>Strategic Management: A Stakeholder Approach.</w:t>
      </w:r>
      <w:r w:rsidRPr="00554433">
        <w:rPr>
          <w:rFonts w:ascii="Bahnschrift" w:eastAsia="Times New Roman" w:hAnsi="Bahnschrift" w:cs="Arial"/>
          <w:color w:val="000000" w:themeColor="text1"/>
          <w:kern w:val="0"/>
          <w14:ligatures w14:val="none"/>
        </w:rPr>
        <w:t xml:space="preserve"> Pitman, Boston. - References - Scientific Research Publishing. (2026). </w:t>
      </w:r>
      <w:hyperlink r:id="rId12" w:history="1">
        <w:r w:rsidRPr="00554433">
          <w:rPr>
            <w:rStyle w:val="Hyperlink"/>
            <w:rFonts w:ascii="Bahnschrift" w:eastAsia="Times New Roman" w:hAnsi="Bahnschrift" w:cs="Arial"/>
            <w:color w:val="000000" w:themeColor="text1"/>
            <w:kern w:val="0"/>
            <w:u w:val="none"/>
            <w14:ligatures w14:val="none"/>
          </w:rPr>
          <w:t>https://www.scirp.org/reference/referencespapers?referenceid=1209107</w:t>
        </w:r>
      </w:hyperlink>
    </w:p>
    <w:p w14:paraId="2F909828" w14:textId="77777777" w:rsidR="00506620" w:rsidRPr="00554433" w:rsidRDefault="00506620" w:rsidP="00506620">
      <w:pPr>
        <w:spacing w:after="0" w:line="240" w:lineRule="auto"/>
        <w:ind w:left="601" w:hanging="601"/>
        <w:rPr>
          <w:rFonts w:ascii="Bahnschrift" w:eastAsia="Times New Roman" w:hAnsi="Bahnschrift" w:cs="Arial"/>
          <w:color w:val="000000" w:themeColor="text1"/>
          <w:kern w:val="0"/>
          <w14:ligatures w14:val="none"/>
        </w:rPr>
      </w:pPr>
    </w:p>
    <w:p w14:paraId="592A10D2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George, D., &amp; Mallery, P. (2003). </w:t>
      </w:r>
      <w:r w:rsidRPr="00554433">
        <w:rPr>
          <w:rFonts w:ascii="Bahnschrift" w:hAnsi="Bahnschrift"/>
          <w:i/>
          <w:iCs/>
          <w:color w:val="000000" w:themeColor="text1"/>
        </w:rPr>
        <w:t>SPSS for Windows step by step: A simple guide and reference</w:t>
      </w:r>
      <w:r w:rsidRPr="00554433">
        <w:rPr>
          <w:rFonts w:ascii="Bahnschrift" w:hAnsi="Bahnschrift"/>
          <w:color w:val="000000" w:themeColor="text1"/>
        </w:rPr>
        <w:t xml:space="preserve"> (4th ed.). Allyn &amp; Bacon.</w:t>
      </w:r>
    </w:p>
    <w:p w14:paraId="3DD41D68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0D7905D0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  <w:shd w:val="clear" w:color="auto" w:fill="FFFFFF"/>
        </w:rPr>
      </w:pPr>
      <w:r w:rsidRPr="00554433">
        <w:rPr>
          <w:rFonts w:ascii="Bahnschrift" w:hAnsi="Bahnschrift"/>
          <w:color w:val="000000" w:themeColor="text1"/>
          <w:shd w:val="clear" w:color="auto" w:fill="FFFFFF"/>
        </w:rPr>
        <w:t xml:space="preserve">Getz, D. (2010). The nature and scope of festival studies. International </w:t>
      </w:r>
      <w:r w:rsidRPr="00554433">
        <w:rPr>
          <w:rFonts w:ascii="Bahnschrift" w:hAnsi="Bahnschrift"/>
          <w:i/>
          <w:iCs/>
          <w:color w:val="000000" w:themeColor="text1"/>
          <w:shd w:val="clear" w:color="auto" w:fill="FFFFFF"/>
        </w:rPr>
        <w:t>Journal of Event and Festival Management, 1</w:t>
      </w:r>
      <w:r w:rsidRPr="00554433">
        <w:rPr>
          <w:rFonts w:ascii="Bahnschrift" w:hAnsi="Bahnschrift"/>
          <w:color w:val="000000" w:themeColor="text1"/>
          <w:shd w:val="clear" w:color="auto" w:fill="FFFFFF"/>
        </w:rPr>
        <w:t xml:space="preserve">(1), 1–47. </w:t>
      </w:r>
      <w:hyperlink r:id="rId13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  <w:shd w:val="clear" w:color="auto" w:fill="FFFFFF"/>
          </w:rPr>
          <w:t>https://doi.org/10.1108/17852951011029298</w:t>
        </w:r>
      </w:hyperlink>
    </w:p>
    <w:p w14:paraId="76E0A6AB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2366F17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Golloso-Gubat, M. J., Felix, A. D. R., Tandang, N. A., Acuin, C. C. S., Gordoncillo, P. U., &amp; Duante, C. A. (2024). Sustainability of the Philippine food system. </w:t>
      </w:r>
      <w:r w:rsidRPr="00554433">
        <w:rPr>
          <w:rFonts w:ascii="Bahnschrift" w:hAnsi="Bahnschrift"/>
          <w:i/>
          <w:iCs/>
          <w:color w:val="000000" w:themeColor="text1"/>
        </w:rPr>
        <w:t>Frontiers in Sustainable Food Systems, 8,</w:t>
      </w:r>
      <w:r w:rsidRPr="00554433">
        <w:rPr>
          <w:rFonts w:ascii="Bahnschrift" w:hAnsi="Bahnschrift"/>
          <w:color w:val="000000" w:themeColor="text1"/>
        </w:rPr>
        <w:t xml:space="preserve"> 1278891. </w:t>
      </w:r>
      <w:hyperlink r:id="rId14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https://doi.org/10.3389/fsufs.2024.1278891</w:t>
        </w:r>
      </w:hyperlink>
    </w:p>
    <w:p w14:paraId="3F4A7278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26163252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>Gössling, S., Garrod, B., Aall, C., Hille, J., &amp; Peeters, P. (2011). Food management in tourism: Reducing tourism’s carbon “foodprint</w:t>
      </w:r>
      <w:r w:rsidRPr="00554433">
        <w:rPr>
          <w:rFonts w:ascii="Bahnschrift" w:hAnsi="Bahnschrift"/>
          <w:i/>
          <w:iCs/>
          <w:color w:val="000000" w:themeColor="text1"/>
        </w:rPr>
        <w:t>.” Tourism Management, 32</w:t>
      </w:r>
      <w:r w:rsidRPr="00554433">
        <w:rPr>
          <w:rFonts w:ascii="Bahnschrift" w:hAnsi="Bahnschrift"/>
          <w:color w:val="000000" w:themeColor="text1"/>
        </w:rPr>
        <w:t xml:space="preserve">(3), 534–543. </w:t>
      </w:r>
      <w:hyperlink r:id="rId15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https://doi.org/10.1016/j.tourman.2010.04.006</w:t>
        </w:r>
      </w:hyperlink>
    </w:p>
    <w:p w14:paraId="3C954DA1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46CFEB2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Hall, C. M., &amp; Mitchell, R. (2005). Gastronomic tourism: Comparing food and wine tourism experiences. In M. Novelli (Ed.), </w:t>
      </w:r>
      <w:r w:rsidRPr="00554433">
        <w:rPr>
          <w:rFonts w:ascii="Bahnschrift" w:hAnsi="Bahnschrift"/>
          <w:i/>
          <w:iCs/>
          <w:color w:val="000000" w:themeColor="text1"/>
        </w:rPr>
        <w:t>Niche tourism:</w:t>
      </w:r>
      <w:r w:rsidRPr="00554433">
        <w:rPr>
          <w:rFonts w:ascii="Bahnschrift" w:hAnsi="Bahnschrift"/>
          <w:color w:val="000000" w:themeColor="text1"/>
        </w:rPr>
        <w:t xml:space="preserve"> </w:t>
      </w:r>
      <w:r w:rsidRPr="00554433">
        <w:rPr>
          <w:rFonts w:ascii="Bahnschrift" w:hAnsi="Bahnschrift"/>
          <w:i/>
          <w:iCs/>
          <w:color w:val="000000" w:themeColor="text1"/>
        </w:rPr>
        <w:t>Contemporary issues, trends and cases</w:t>
      </w:r>
      <w:r w:rsidRPr="00554433">
        <w:rPr>
          <w:rFonts w:ascii="Bahnschrift" w:hAnsi="Bahnschrift"/>
          <w:color w:val="000000" w:themeColor="text1"/>
        </w:rPr>
        <w:t xml:space="preserve"> (pp. 73–88). Elsevier Butterworth-Heinemann.</w:t>
      </w:r>
    </w:p>
    <w:p w14:paraId="317D5D4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317087BF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Hall, C. M., Sharples, L., Mitchell, R., Macionis, N., &amp; Cambourne, B. (Eds.). (2003). </w:t>
      </w:r>
      <w:r w:rsidRPr="00554433">
        <w:rPr>
          <w:rFonts w:ascii="Bahnschrift" w:hAnsi="Bahnschrift"/>
          <w:i/>
          <w:iCs/>
          <w:color w:val="000000" w:themeColor="text1"/>
        </w:rPr>
        <w:t xml:space="preserve">Food tourism around the world: Development, management and markets. </w:t>
      </w:r>
      <w:r w:rsidRPr="00554433">
        <w:rPr>
          <w:rFonts w:ascii="Bahnschrift" w:hAnsi="Bahnschrift"/>
          <w:color w:val="000000" w:themeColor="text1"/>
        </w:rPr>
        <w:t>Butterworth-Heinemann.</w:t>
      </w:r>
    </w:p>
    <w:p w14:paraId="45147624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3D050F0E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lastRenderedPageBreak/>
        <w:t xml:space="preserve">Hocaoglu, D. (2024). The contribution of gastronomy tourism to the branding strategy of a city. In E. Bonacho, M. M. Santos, &amp; A. Dias (Eds.), </w:t>
      </w:r>
      <w:r w:rsidRPr="00554433">
        <w:rPr>
          <w:rFonts w:ascii="Bahnschrift" w:hAnsi="Bahnschrift"/>
          <w:i/>
          <w:iCs/>
          <w:color w:val="000000" w:themeColor="text1"/>
        </w:rPr>
        <w:t>Experiencing and envisioning food: Designing for change</w:t>
      </w:r>
      <w:r w:rsidRPr="00554433">
        <w:rPr>
          <w:rFonts w:ascii="Bahnschrift" w:hAnsi="Bahnschrift"/>
          <w:color w:val="000000" w:themeColor="text1"/>
        </w:rPr>
        <w:t xml:space="preserve"> (pp. 123–130). CRC Press.</w:t>
      </w:r>
    </w:p>
    <w:p w14:paraId="061F6CF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7EA43A9C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Kavaratzis, M., &amp; Ashworth, G. J. (2015). Hijacking culture: The disconnection between place culture and place brands. </w:t>
      </w:r>
      <w:r w:rsidRPr="007578DB">
        <w:rPr>
          <w:rFonts w:ascii="Bahnschrift" w:hAnsi="Bahnschrift"/>
          <w:i/>
          <w:iCs/>
          <w:color w:val="000000" w:themeColor="text1"/>
        </w:rPr>
        <w:t>Town Planning Review, 86</w:t>
      </w:r>
      <w:r w:rsidRPr="00554433">
        <w:rPr>
          <w:rFonts w:ascii="Bahnschrift" w:hAnsi="Bahnschrift"/>
          <w:color w:val="000000" w:themeColor="text1"/>
        </w:rPr>
        <w:t xml:space="preserve">(2), 155–176. </w:t>
      </w:r>
      <w:hyperlink r:id="rId16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https://doi.org/10.3828/tpr.2015.10</w:t>
        </w:r>
      </w:hyperlink>
    </w:p>
    <w:p w14:paraId="7D696EAD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50C7D45D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Kotler, P., Bowen, J. T., &amp; Makens, J. C. (2017). </w:t>
      </w:r>
      <w:r w:rsidRPr="007578DB">
        <w:rPr>
          <w:rFonts w:ascii="Bahnschrift" w:hAnsi="Bahnschrift"/>
          <w:i/>
          <w:iCs/>
          <w:color w:val="000000" w:themeColor="text1"/>
        </w:rPr>
        <w:t>Marketing for hospitality and tourism</w:t>
      </w:r>
      <w:r w:rsidRPr="00554433">
        <w:rPr>
          <w:rFonts w:ascii="Bahnschrift" w:hAnsi="Bahnschrift"/>
          <w:color w:val="000000" w:themeColor="text1"/>
        </w:rPr>
        <w:t xml:space="preserve"> (7th ed.). Pearson.</w:t>
      </w:r>
    </w:p>
    <w:p w14:paraId="1D2AD4D2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0F333863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Long, L. M. (2004). Culinary tourism: A folkloristic perspective on eating and otherness. In L. M. Long (Ed.), </w:t>
      </w:r>
      <w:r w:rsidRPr="007578DB">
        <w:rPr>
          <w:rFonts w:ascii="Bahnschrift" w:hAnsi="Bahnschrift"/>
          <w:i/>
          <w:iCs/>
          <w:color w:val="000000" w:themeColor="text1"/>
        </w:rPr>
        <w:t>Culinary tourism</w:t>
      </w:r>
      <w:r w:rsidRPr="00554433">
        <w:rPr>
          <w:rFonts w:ascii="Bahnschrift" w:hAnsi="Bahnschrift"/>
          <w:color w:val="000000" w:themeColor="text1"/>
        </w:rPr>
        <w:t xml:space="preserve"> (pp. 20–50). University Press of Kentucky.</w:t>
      </w:r>
    </w:p>
    <w:p w14:paraId="3B06D501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10265332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Okumus, B. (2020). Food tourism research: A perspective article. </w:t>
      </w:r>
      <w:r w:rsidRPr="007578DB">
        <w:rPr>
          <w:rFonts w:ascii="Bahnschrift" w:hAnsi="Bahnschrift"/>
          <w:i/>
          <w:iCs/>
          <w:color w:val="000000" w:themeColor="text1"/>
        </w:rPr>
        <w:t>Tourism Review, 76</w:t>
      </w:r>
      <w:r w:rsidRPr="00554433">
        <w:rPr>
          <w:rFonts w:ascii="Bahnschrift" w:hAnsi="Bahnschrift"/>
          <w:color w:val="000000" w:themeColor="text1"/>
        </w:rPr>
        <w:t xml:space="preserve">(1), 38–42. </w:t>
      </w:r>
      <w:hyperlink r:id="rId17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https://doi.org/10.1108/TR-11-2019-0450</w:t>
        </w:r>
      </w:hyperlink>
    </w:p>
    <w:p w14:paraId="295251C0" w14:textId="77777777" w:rsidR="00506620" w:rsidRPr="00554433" w:rsidRDefault="00506620" w:rsidP="00506620">
      <w:pPr>
        <w:suppressLineNumbers/>
        <w:spacing w:after="0" w:line="240" w:lineRule="auto"/>
        <w:jc w:val="both"/>
        <w:rPr>
          <w:rFonts w:ascii="Bahnschrift" w:hAnsi="Bahnschrift"/>
          <w:color w:val="000000" w:themeColor="text1"/>
        </w:rPr>
      </w:pPr>
    </w:p>
    <w:p w14:paraId="5616E926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Richards, G. (2021). Gastronomy tourism: An essential ingredient in tourism destination branding. </w:t>
      </w:r>
      <w:r w:rsidRPr="007578DB">
        <w:rPr>
          <w:rFonts w:ascii="Bahnschrift" w:hAnsi="Bahnschrift"/>
          <w:i/>
          <w:iCs/>
          <w:color w:val="000000" w:themeColor="text1"/>
        </w:rPr>
        <w:t>International Journal of Gastronomy and Food Science, 25,</w:t>
      </w:r>
      <w:r w:rsidRPr="00554433">
        <w:rPr>
          <w:rFonts w:ascii="Bahnschrift" w:hAnsi="Bahnschrift"/>
          <w:color w:val="000000" w:themeColor="text1"/>
        </w:rPr>
        <w:t xml:space="preserve"> 100405. </w:t>
      </w:r>
      <w:hyperlink r:id="rId18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https://doi.org/10.1016/j.ijgfs.2021.100405</w:t>
        </w:r>
      </w:hyperlink>
    </w:p>
    <w:p w14:paraId="47FB2BB3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09C84427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Rogers, E. M. (2003). </w:t>
      </w:r>
      <w:r w:rsidRPr="00554433">
        <w:rPr>
          <w:rFonts w:ascii="Bahnschrift" w:hAnsi="Bahnschrift"/>
          <w:i/>
          <w:iCs/>
          <w:color w:val="000000" w:themeColor="text1"/>
        </w:rPr>
        <w:t>Diffusion of innovations</w:t>
      </w:r>
      <w:r w:rsidRPr="00554433">
        <w:rPr>
          <w:rFonts w:ascii="Bahnschrift" w:hAnsi="Bahnschrift"/>
          <w:color w:val="000000" w:themeColor="text1"/>
        </w:rPr>
        <w:t xml:space="preserve"> (5th ed.). Free Press.</w:t>
      </w:r>
    </w:p>
    <w:p w14:paraId="62EB42A4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76686970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Thomas, R., Shaw, G., &amp; Page, S. J. (2011). Understanding small firms in tourism: A perspective on research trends and challenges. </w:t>
      </w:r>
      <w:r w:rsidRPr="00554433">
        <w:rPr>
          <w:rFonts w:ascii="Bahnschrift" w:hAnsi="Bahnschrift"/>
          <w:i/>
          <w:iCs/>
          <w:color w:val="000000" w:themeColor="text1"/>
        </w:rPr>
        <w:t>Tourism Management, 32</w:t>
      </w:r>
      <w:r w:rsidRPr="00554433">
        <w:rPr>
          <w:rFonts w:ascii="Bahnschrift" w:hAnsi="Bahnschrift"/>
          <w:color w:val="000000" w:themeColor="text1"/>
        </w:rPr>
        <w:t xml:space="preserve">(5), 963–976. </w:t>
      </w:r>
      <w:hyperlink r:id="rId19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https://doi.org/10.1016/j.tourman.2011.02.003</w:t>
        </w:r>
      </w:hyperlink>
    </w:p>
    <w:p w14:paraId="1EA1E20E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4369EA02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Timothy, D. J., &amp; Boyd, S. W. (2003). </w:t>
      </w:r>
      <w:r w:rsidRPr="00554433">
        <w:rPr>
          <w:rFonts w:ascii="Bahnschrift" w:hAnsi="Bahnschrift"/>
          <w:i/>
          <w:iCs/>
          <w:color w:val="000000" w:themeColor="text1"/>
        </w:rPr>
        <w:t>Heritage tourism.</w:t>
      </w:r>
      <w:r w:rsidRPr="00554433">
        <w:rPr>
          <w:rFonts w:ascii="Bahnschrift" w:hAnsi="Bahnschrift"/>
          <w:color w:val="000000" w:themeColor="text1"/>
        </w:rPr>
        <w:t xml:space="preserve"> Prentice Hall.</w:t>
      </w:r>
    </w:p>
    <w:p w14:paraId="51432E0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1949EAE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United Nations Educational, Scientific and Cultural Organization. (2021). </w:t>
      </w:r>
      <w:r w:rsidRPr="007578DB">
        <w:rPr>
          <w:rFonts w:ascii="Bahnschrift" w:hAnsi="Bahnschrift"/>
          <w:i/>
          <w:iCs/>
          <w:color w:val="000000" w:themeColor="text1"/>
        </w:rPr>
        <w:t>UNESCO Creative Cities Network.</w:t>
      </w:r>
      <w:r w:rsidRPr="00554433">
        <w:rPr>
          <w:rFonts w:ascii="Bahnschrift" w:hAnsi="Bahnschrift"/>
          <w:color w:val="000000" w:themeColor="text1"/>
        </w:rPr>
        <w:t xml:space="preserve"> </w:t>
      </w:r>
      <w:hyperlink r:id="rId20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https://en.unesco.org/creative-cities</w:t>
        </w:r>
      </w:hyperlink>
    </w:p>
    <w:p w14:paraId="43C5A5BD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10742D3D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United Nations Educational, Scientific and Cultural Organization. (2023). </w:t>
      </w:r>
      <w:r w:rsidRPr="007578DB">
        <w:rPr>
          <w:rFonts w:ascii="Bahnschrift" w:hAnsi="Bahnschrift"/>
          <w:i/>
          <w:iCs/>
          <w:color w:val="000000" w:themeColor="text1"/>
        </w:rPr>
        <w:t>Innovation cities in gastronomy</w:t>
      </w:r>
      <w:r w:rsidRPr="00554433">
        <w:rPr>
          <w:rFonts w:ascii="Bahnschrift" w:hAnsi="Bahnschrift"/>
          <w:color w:val="000000" w:themeColor="text1"/>
        </w:rPr>
        <w:t xml:space="preserve"> (pp. 44–47). </w:t>
      </w:r>
      <w:hyperlink r:id="rId21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https://unesdoc.unesco.org/ark:/48223/pf0000380000</w:t>
        </w:r>
      </w:hyperlink>
    </w:p>
    <w:p w14:paraId="53F82E03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730A136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Style w:val="whitespace-normal"/>
          <w:rFonts w:ascii="Bahnschrift" w:hAnsi="Bahnschrift"/>
          <w:color w:val="000000" w:themeColor="text1"/>
        </w:rPr>
        <w:t>United Nations Educational, Scientific and Cultural Organization</w:t>
      </w:r>
      <w:r w:rsidRPr="00554433">
        <w:rPr>
          <w:rFonts w:ascii="Bahnschrift" w:hAnsi="Bahnschrift"/>
          <w:color w:val="000000" w:themeColor="text1"/>
        </w:rPr>
        <w:t xml:space="preserve">. (2023). </w:t>
      </w:r>
      <w:r w:rsidRPr="00554433">
        <w:rPr>
          <w:rStyle w:val="Emphasis"/>
          <w:rFonts w:ascii="Bahnschrift" w:hAnsi="Bahnschrift"/>
          <w:color w:val="000000" w:themeColor="text1"/>
        </w:rPr>
        <w:t>Iloilo City – Creative Cities Network</w:t>
      </w:r>
      <w:r w:rsidRPr="00554433">
        <w:rPr>
          <w:rFonts w:ascii="Bahnschrift" w:hAnsi="Bahnschrift"/>
          <w:color w:val="000000" w:themeColor="text1"/>
        </w:rPr>
        <w:t xml:space="preserve">. </w:t>
      </w:r>
      <w:hyperlink r:id="rId22" w:tgtFrame="_new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https://www.unesco.org/en/creative-cities/iloilo-city</w:t>
        </w:r>
      </w:hyperlink>
    </w:p>
    <w:p w14:paraId="649799AE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26EF8FD7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United Nations Educational, Scientific and Cultural Organization. (2023, October 31). </w:t>
      </w:r>
      <w:r w:rsidRPr="007578DB">
        <w:rPr>
          <w:rFonts w:ascii="Bahnschrift" w:hAnsi="Bahnschrift"/>
          <w:i/>
          <w:iCs/>
          <w:color w:val="000000" w:themeColor="text1"/>
        </w:rPr>
        <w:t>55 new cities join the UNESCO Creative Cities Network on World Cities Day.</w:t>
      </w:r>
      <w:r w:rsidRPr="00554433">
        <w:rPr>
          <w:rFonts w:ascii="Bahnschrift" w:hAnsi="Bahnschrift"/>
          <w:color w:val="000000" w:themeColor="text1"/>
        </w:rPr>
        <w:t xml:space="preserve"> </w:t>
      </w:r>
      <w:hyperlink r:id="rId23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https://www.unesco.org/en/articles/55-new-cities-join-unesco-creative-cities-network-world-cities-day</w:t>
        </w:r>
      </w:hyperlink>
    </w:p>
    <w:p w14:paraId="4F6DE69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46345DF6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United Nations World Tourism Organization. (2018). </w:t>
      </w:r>
      <w:r w:rsidRPr="007578DB">
        <w:rPr>
          <w:rFonts w:ascii="Bahnschrift" w:hAnsi="Bahnschrift"/>
          <w:i/>
          <w:iCs/>
          <w:color w:val="000000" w:themeColor="text1"/>
        </w:rPr>
        <w:t xml:space="preserve">Tourism and culture synergies. </w:t>
      </w:r>
      <w:hyperlink r:id="rId24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https://doi.org/10.18111/9789284418978</w:t>
        </w:r>
      </w:hyperlink>
    </w:p>
    <w:p w14:paraId="62059329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0AEB8236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World Tourism Organization. (2019). </w:t>
      </w:r>
      <w:r w:rsidRPr="007578DB">
        <w:rPr>
          <w:rFonts w:ascii="Bahnschrift" w:hAnsi="Bahnschrift"/>
          <w:i/>
          <w:iCs/>
          <w:color w:val="000000" w:themeColor="text1"/>
        </w:rPr>
        <w:t>Gastronomy tourism – The case of Japan.</w:t>
      </w:r>
      <w:r w:rsidRPr="00554433">
        <w:rPr>
          <w:rFonts w:ascii="Bahnschrift" w:hAnsi="Bahnschrift"/>
          <w:color w:val="000000" w:themeColor="text1"/>
        </w:rPr>
        <w:t xml:space="preserve"> </w:t>
      </w:r>
      <w:hyperlink r:id="rId25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https://doi.org/10.18111/9789284420919</w:t>
        </w:r>
      </w:hyperlink>
    </w:p>
    <w:p w14:paraId="07EEFDD4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768C67EF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lastRenderedPageBreak/>
        <w:t xml:space="preserve">Yeoman, I., &amp; McMahon-Beattie, U. (2016). The future of food tourism. </w:t>
      </w:r>
      <w:r w:rsidRPr="007578DB">
        <w:rPr>
          <w:rFonts w:ascii="Bahnschrift" w:hAnsi="Bahnschrift"/>
          <w:i/>
          <w:iCs/>
          <w:color w:val="000000" w:themeColor="text1"/>
        </w:rPr>
        <w:t>Journal of Tourism Futures, 2</w:t>
      </w:r>
      <w:r w:rsidRPr="00554433">
        <w:rPr>
          <w:rFonts w:ascii="Bahnschrift" w:hAnsi="Bahnschrift"/>
          <w:color w:val="000000" w:themeColor="text1"/>
        </w:rPr>
        <w:t xml:space="preserve">(1), 95–98. </w:t>
      </w:r>
      <w:hyperlink r:id="rId26" w:history="1">
        <w:r w:rsidRPr="00554433">
          <w:rPr>
            <w:rStyle w:val="Hyperlink"/>
            <w:rFonts w:ascii="Bahnschrift" w:hAnsi="Bahnschrift"/>
            <w:color w:val="000000" w:themeColor="text1"/>
            <w:u w:val="none"/>
          </w:rPr>
          <w:t>https://doi.org/10.1108/JTF-12-2015-0051</w:t>
        </w:r>
      </w:hyperlink>
    </w:p>
    <w:p w14:paraId="037C2554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4CB0B166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Zhu, H., &amp; Yasami, M. (2021). Developing gastronomic resources: Practices of UNESCO creative cities of gastronomy. </w:t>
      </w:r>
      <w:r w:rsidRPr="007578DB">
        <w:rPr>
          <w:rFonts w:ascii="Bahnschrift" w:hAnsi="Bahnschrift"/>
          <w:i/>
          <w:iCs/>
          <w:color w:val="000000" w:themeColor="text1"/>
        </w:rPr>
        <w:t>GeoJournal of Tourism and Geosites, 39</w:t>
      </w:r>
      <w:r w:rsidRPr="00554433">
        <w:rPr>
          <w:rFonts w:ascii="Bahnschrift" w:hAnsi="Bahnschrift"/>
          <w:color w:val="000000" w:themeColor="text1"/>
        </w:rPr>
        <w:t xml:space="preserve">(4 Suppl.), 1406–1414. </w:t>
      </w:r>
      <w:hyperlink r:id="rId27" w:history="1">
        <w:r w:rsidRPr="007578DB">
          <w:rPr>
            <w:rStyle w:val="Hyperlink"/>
            <w:rFonts w:ascii="Bahnschrift" w:hAnsi="Bahnschrift"/>
            <w:color w:val="auto"/>
            <w:u w:val="none"/>
          </w:rPr>
          <w:t>https://doi.org/10.30892/gtg.394spl11-784</w:t>
        </w:r>
      </w:hyperlink>
    </w:p>
    <w:p w14:paraId="31928480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5CF1F24C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Busalla, A. R. G. (2025). Opportunities and challenges in the tourism and hospitality industry in the Philippines: A systematic literature review. International Research </w:t>
      </w:r>
      <w:r w:rsidRPr="007578DB">
        <w:rPr>
          <w:rFonts w:ascii="Bahnschrift" w:hAnsi="Bahnschrift"/>
          <w:i/>
          <w:iCs/>
          <w:color w:val="000000" w:themeColor="text1"/>
        </w:rPr>
        <w:t>Journal of Economics and Management Studies, 4</w:t>
      </w:r>
      <w:r w:rsidRPr="00554433">
        <w:rPr>
          <w:rFonts w:ascii="Bahnschrift" w:hAnsi="Bahnschrift"/>
          <w:color w:val="000000" w:themeColor="text1"/>
        </w:rPr>
        <w:t>(1), 207–211. https://doi.org/10.56472/25835238/IRJEMS-V4I1P120 (doi.org in Bing)</w:t>
      </w:r>
    </w:p>
    <w:p w14:paraId="48E9389B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362D7AD6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>Gutierrez, E. L. M., Rivera, J. P. R., &amp; Roxas, F. M. Y. (2022). Culinary tourism as an avenue for tourism development: Mapping the flavors of the Philippines</w:t>
      </w:r>
      <w:r w:rsidRPr="007578DB">
        <w:rPr>
          <w:rFonts w:ascii="Bahnschrift" w:hAnsi="Bahnschrift"/>
          <w:i/>
          <w:iCs/>
          <w:color w:val="000000" w:themeColor="text1"/>
        </w:rPr>
        <w:t>. In Tourism in the Philippines</w:t>
      </w:r>
      <w:r w:rsidRPr="00554433">
        <w:rPr>
          <w:rFonts w:ascii="Bahnschrift" w:hAnsi="Bahnschrift"/>
          <w:color w:val="000000" w:themeColor="text1"/>
        </w:rPr>
        <w:t xml:space="preserve"> (pp. 67–95). Springer. https://doi.org/10.1007/978-981-19-3120-2_4 (doi.org in Bing)</w:t>
      </w:r>
    </w:p>
    <w:p w14:paraId="09CE2622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44999748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Hocaoglu, D. (2024). The contribution of gastronomy tourism to the branding strategy of a city. In Bonacho et al. (Eds.), </w:t>
      </w:r>
      <w:r w:rsidRPr="007578DB">
        <w:rPr>
          <w:rFonts w:ascii="Bahnschrift" w:hAnsi="Bahnschrift"/>
          <w:i/>
          <w:iCs/>
          <w:color w:val="000000" w:themeColor="text1"/>
        </w:rPr>
        <w:t>Experiencing and envisioning food: Designing for change</w:t>
      </w:r>
      <w:r w:rsidRPr="00554433">
        <w:rPr>
          <w:rFonts w:ascii="Bahnschrift" w:hAnsi="Bahnschrift"/>
          <w:color w:val="000000" w:themeColor="text1"/>
        </w:rPr>
        <w:t xml:space="preserve"> (pp. 233–248). CRC Press. https://doi.org/10.1201/9781003386858-17</w:t>
      </w:r>
    </w:p>
    <w:p w14:paraId="534D7015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5CD1C80B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Richards, G. (2021). Evolving research perspectives on food and gastronomic experiences in tourism. International </w:t>
      </w:r>
      <w:r w:rsidRPr="007578DB">
        <w:rPr>
          <w:rFonts w:ascii="Bahnschrift" w:hAnsi="Bahnschrift"/>
          <w:i/>
          <w:iCs/>
          <w:color w:val="000000" w:themeColor="text1"/>
        </w:rPr>
        <w:t>Journal of Contemporary Hospitality Management, 33</w:t>
      </w:r>
      <w:r w:rsidRPr="00554433">
        <w:rPr>
          <w:rFonts w:ascii="Bahnschrift" w:hAnsi="Bahnschrift"/>
          <w:color w:val="000000" w:themeColor="text1"/>
        </w:rPr>
        <w:t>(3), 1037–1058. https://doi.org/10.1108/IJCHM-10-2020-1217</w:t>
      </w:r>
    </w:p>
    <w:p w14:paraId="76F435D8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</w:p>
    <w:p w14:paraId="11C2963C" w14:textId="77777777" w:rsidR="00506620" w:rsidRPr="00554433" w:rsidRDefault="00506620" w:rsidP="0050662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color w:val="000000" w:themeColor="text1"/>
        </w:rPr>
      </w:pPr>
      <w:r w:rsidRPr="00554433">
        <w:rPr>
          <w:rFonts w:ascii="Bahnschrift" w:hAnsi="Bahnschrift"/>
          <w:color w:val="000000" w:themeColor="text1"/>
        </w:rPr>
        <w:t xml:space="preserve">UNESCO. (2023). </w:t>
      </w:r>
      <w:r w:rsidRPr="007578DB">
        <w:rPr>
          <w:rFonts w:ascii="Bahnschrift" w:hAnsi="Bahnschrift"/>
          <w:i/>
          <w:iCs/>
          <w:color w:val="000000" w:themeColor="text1"/>
        </w:rPr>
        <w:t>UNESCO Creative Cities of Gastronomy report.</w:t>
      </w:r>
      <w:r w:rsidRPr="00554433">
        <w:rPr>
          <w:rFonts w:ascii="Bahnschrift" w:hAnsi="Bahnschrift"/>
          <w:color w:val="000000" w:themeColor="text1"/>
        </w:rPr>
        <w:t xml:space="preserve"> UNESCO Creative Cities Network.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2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AD6AD" w14:textId="77777777" w:rsidR="00565EAB" w:rsidRDefault="00565EAB" w:rsidP="00290EE2">
      <w:pPr>
        <w:spacing w:after="0" w:line="240" w:lineRule="auto"/>
      </w:pPr>
      <w:r>
        <w:separator/>
      </w:r>
    </w:p>
  </w:endnote>
  <w:endnote w:type="continuationSeparator" w:id="0">
    <w:p w14:paraId="5CF8038A" w14:textId="77777777" w:rsidR="00565EAB" w:rsidRDefault="00565EA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7898E" w14:textId="77777777" w:rsidR="00565EAB" w:rsidRDefault="00565EAB" w:rsidP="00290EE2">
      <w:pPr>
        <w:spacing w:after="0" w:line="240" w:lineRule="auto"/>
      </w:pPr>
      <w:r>
        <w:separator/>
      </w:r>
    </w:p>
  </w:footnote>
  <w:footnote w:type="continuationSeparator" w:id="0">
    <w:p w14:paraId="2C54666A" w14:textId="77777777" w:rsidR="00565EAB" w:rsidRDefault="00565EA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506620"/>
    <w:rsid w:val="005611F8"/>
    <w:rsid w:val="00565EAB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7F604B"/>
    <w:rsid w:val="00805D1B"/>
    <w:rsid w:val="00814436"/>
    <w:rsid w:val="008469F3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40B32"/>
    <w:rsid w:val="00A50563"/>
    <w:rsid w:val="00A819D9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EF0898"/>
    <w:rsid w:val="00F335F1"/>
    <w:rsid w:val="00F34DCD"/>
    <w:rsid w:val="00F74BB2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9F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506620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506620"/>
    <w:rPr>
      <w:i/>
      <w:iCs/>
    </w:rPr>
  </w:style>
  <w:style w:type="character" w:customStyle="1" w:styleId="whitespace-normal">
    <w:name w:val="whitespace-normal"/>
    <w:basedOn w:val="DefaultParagraphFont"/>
    <w:rsid w:val="00506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5406/bbij.2017.05.00149" TargetMode="External"/><Relationship Id="rId13" Type="http://schemas.openxmlformats.org/officeDocument/2006/relationships/hyperlink" Target="https://doi.org/10.1108/17852951011029298" TargetMode="External"/><Relationship Id="rId18" Type="http://schemas.openxmlformats.org/officeDocument/2006/relationships/hyperlink" Target="https://doi.org/10.1016/j.ijgfs.2021.100405" TargetMode="External"/><Relationship Id="rId26" Type="http://schemas.openxmlformats.org/officeDocument/2006/relationships/hyperlink" Target="https://doi.org/10.1108/JTF-12-2015-005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nesdoc.unesco.org/ark:/48223/pf0000380000" TargetMode="External"/><Relationship Id="rId7" Type="http://schemas.openxmlformats.org/officeDocument/2006/relationships/hyperlink" Target="https://doi.org/10.1007/978-3-031-25984-5_402" TargetMode="External"/><Relationship Id="rId12" Type="http://schemas.openxmlformats.org/officeDocument/2006/relationships/hyperlink" Target="https://www.scirp.org/reference/referencespapers?referenceid=1209107" TargetMode="External"/><Relationship Id="rId17" Type="http://schemas.openxmlformats.org/officeDocument/2006/relationships/hyperlink" Target="https://doi.org/10.1108/TR-11-2019-0450" TargetMode="External"/><Relationship Id="rId25" Type="http://schemas.openxmlformats.org/officeDocument/2006/relationships/hyperlink" Target="https://doi.org/10.18111/97892844209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3828/tpr.2015.10" TargetMode="External"/><Relationship Id="rId20" Type="http://schemas.openxmlformats.org/officeDocument/2006/relationships/hyperlink" Target="https://en.unesco.org/creative-cities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16/j.tourman.2018.03.025" TargetMode="External"/><Relationship Id="rId24" Type="http://schemas.openxmlformats.org/officeDocument/2006/relationships/hyperlink" Target="https://doi.org/10.18111/9789284418978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016/j.tourman.2010.04.006" TargetMode="External"/><Relationship Id="rId23" Type="http://schemas.openxmlformats.org/officeDocument/2006/relationships/hyperlink" Target="https://www.unesco.org/en/articles/55-new-cities-join-unesco-creative-cities-network-world-cities-day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doi.org/10.1016/B978-0-7506-6378-6.50023-8" TargetMode="External"/><Relationship Id="rId19" Type="http://schemas.openxmlformats.org/officeDocument/2006/relationships/hyperlink" Target="https://doi.org/10.1016/j.tourman.2011.02.00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0/09669582.2011.580586" TargetMode="External"/><Relationship Id="rId14" Type="http://schemas.openxmlformats.org/officeDocument/2006/relationships/hyperlink" Target="https://doi.org/10.3389/fsufs.2024.1278891" TargetMode="External"/><Relationship Id="rId22" Type="http://schemas.openxmlformats.org/officeDocument/2006/relationships/hyperlink" Target="https://www.unesco.org/en/creative-cities/iloilo-city?utm_source=chatgpt.com" TargetMode="External"/><Relationship Id="rId27" Type="http://schemas.openxmlformats.org/officeDocument/2006/relationships/hyperlink" Target="https://doi.org/10.30892/gtg.394spl11-784" TargetMode="Externa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1149</Words>
  <Characters>6554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36</cp:revision>
  <cp:lastPrinted>2026-02-21T05:03:00Z</cp:lastPrinted>
  <dcterms:created xsi:type="dcterms:W3CDTF">2025-12-03T11:08:00Z</dcterms:created>
  <dcterms:modified xsi:type="dcterms:W3CDTF">2026-05-07T02:29:00Z</dcterms:modified>
</cp:coreProperties>
</file>