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186A6" w14:textId="77777777" w:rsidR="00D31EB8" w:rsidRPr="005C663B" w:rsidRDefault="00D31EB8" w:rsidP="00D31EB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3B07679F" w14:textId="77777777" w:rsidR="00D31EB8" w:rsidRDefault="00D31EB8" w:rsidP="00D31EB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61F0605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American Academy of Pediatrics [AAP], Stirling, J., Jr, Committee on Child Abuse and Neglect and Section on Adoption and Foster Care, American Academy of Child and Adolescent Psychiatry, Amaya-Jackson, L., National Center for Child Traumatic Stress, &amp; Amaya-Jackson, L. (2008). Understanding the behavioral and emotional consequences of child abuse. </w:t>
      </w:r>
      <w:r w:rsidRPr="00BA5188">
        <w:rPr>
          <w:rFonts w:ascii="Bahnschrift" w:hAnsi="Bahnschrift"/>
          <w:i/>
          <w:iCs/>
        </w:rPr>
        <w:t>Pediatrics, 122</w:t>
      </w:r>
      <w:r w:rsidRPr="00BA5188">
        <w:rPr>
          <w:rFonts w:ascii="Bahnschrift" w:hAnsi="Bahnschrift"/>
        </w:rPr>
        <w:t>(3), 667–673. https://doi.org/10.1542/peds.2008-1885</w:t>
      </w:r>
    </w:p>
    <w:p w14:paraId="0F36BDB1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17FAE7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Barroso, N. E., Mendez, L., Graziano, P. A., &amp; Bagner, D. M. (2018). Parenting stress through the lens of different clinical groups: A systematic review and meta-analysis. </w:t>
      </w:r>
      <w:r w:rsidRPr="00BA5188">
        <w:rPr>
          <w:rFonts w:ascii="Bahnschrift" w:hAnsi="Bahnschrift"/>
          <w:i/>
          <w:iCs/>
        </w:rPr>
        <w:t>Journal of Abnormal Child Psychology, 46</w:t>
      </w:r>
      <w:r w:rsidRPr="00BA5188">
        <w:rPr>
          <w:rFonts w:ascii="Bahnschrift" w:hAnsi="Bahnschrift"/>
        </w:rPr>
        <w:t>(3), 449–461. https://doi.org/10.1007/s10802-017-0313-6.</w:t>
      </w:r>
    </w:p>
    <w:p w14:paraId="2D01545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0CB6EA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Braun, V. &amp; Clarke, V. (2006). Using thematic analysis in psychology. </w:t>
      </w:r>
      <w:r w:rsidRPr="00BA5188">
        <w:rPr>
          <w:rFonts w:ascii="Bahnschrift" w:hAnsi="Bahnschrift"/>
          <w:i/>
          <w:iCs/>
        </w:rPr>
        <w:t>Qualitative Research in Psychology, 3</w:t>
      </w:r>
      <w:r w:rsidRPr="00BA5188">
        <w:rPr>
          <w:rFonts w:ascii="Bahnschrift" w:hAnsi="Bahnschrift"/>
        </w:rPr>
        <w:t>(2), 77–101. https://doi.org/10.1191/1478088706qp063oa</w:t>
      </w:r>
    </w:p>
    <w:p w14:paraId="2DD202C7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C168FA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Council for the Welfare of Children [CWC], (2010). </w:t>
      </w:r>
      <w:r w:rsidRPr="00BA5188">
        <w:rPr>
          <w:rFonts w:ascii="Bahnschrift" w:hAnsi="Bahnschrift"/>
          <w:i/>
          <w:iCs/>
        </w:rPr>
        <w:t xml:space="preserve">The second implementation of the child 21: Philippine national strategic framework for plan development for children, 2005-2010. </w:t>
      </w:r>
      <w:r w:rsidRPr="00BA5188">
        <w:rPr>
          <w:rFonts w:ascii="Bahnschrift" w:hAnsi="Bahnschrift"/>
        </w:rPr>
        <w:t>https://cwc.gov.ph/resources/laws-and-policies/national-plans-of-action/item/35-second-implementation-of-the-child-21.html</w:t>
      </w:r>
    </w:p>
    <w:p w14:paraId="52E5331C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E68F6A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Deci, E. L. &amp; Ryan, R. M. (2012). Self-determination theory. </w:t>
      </w:r>
      <w:r w:rsidRPr="00BA5188">
        <w:rPr>
          <w:rFonts w:ascii="Bahnschrift" w:hAnsi="Bahnschrift"/>
          <w:i/>
          <w:iCs/>
        </w:rPr>
        <w:t>Handbook of</w:t>
      </w:r>
      <w:r w:rsidRPr="00BA5188">
        <w:rPr>
          <w:rFonts w:ascii="Bahnschrift" w:hAnsi="Bahnschrift"/>
        </w:rPr>
        <w:t xml:space="preserve"> </w:t>
      </w:r>
      <w:r w:rsidRPr="00BA5188">
        <w:rPr>
          <w:rFonts w:ascii="Bahnschrift" w:hAnsi="Bahnschrift"/>
          <w:i/>
          <w:iCs/>
        </w:rPr>
        <w:t>theories of social   psychology.</w:t>
      </w:r>
      <w:r w:rsidRPr="00BA5188">
        <w:rPr>
          <w:rFonts w:ascii="Bahnschrift" w:hAnsi="Bahnschrift"/>
        </w:rPr>
        <w:t xml:space="preserve"> (pp.416–436). Sage Publications Ltd. https://doi.org/10.4135/9781446249215.n21</w:t>
      </w:r>
    </w:p>
    <w:p w14:paraId="5118B1F8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70567A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Department of Social Welfare and Development (2022). </w:t>
      </w:r>
      <w:r w:rsidRPr="00BA5188">
        <w:rPr>
          <w:rFonts w:ascii="Bahnschrift" w:hAnsi="Bahnschrift"/>
          <w:i/>
          <w:iCs/>
        </w:rPr>
        <w:t>DSWD centers and residential care facilities</w:t>
      </w:r>
      <w:r w:rsidRPr="00BA5188">
        <w:rPr>
          <w:rFonts w:ascii="Bahnschrift" w:hAnsi="Bahnschrift"/>
        </w:rPr>
        <w:t>. https://www.dswd.gov.ph/crcf/</w:t>
      </w:r>
    </w:p>
    <w:p w14:paraId="5FB268ED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70276F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Department of Social Welfare and Development (2023). </w:t>
      </w:r>
      <w:r w:rsidRPr="00BA5188">
        <w:rPr>
          <w:rFonts w:ascii="Bahnschrift" w:hAnsi="Bahnschrift"/>
          <w:i/>
          <w:iCs/>
        </w:rPr>
        <w:t>Manual of operations: Rehabilitation centers for children in conflict with the law</w:t>
      </w:r>
      <w:r w:rsidRPr="00BA5188">
        <w:rPr>
          <w:rFonts w:ascii="Bahnschrift" w:hAnsi="Bahnschrift"/>
        </w:rPr>
        <w:t>. DSWD Central Office.</w:t>
      </w:r>
    </w:p>
    <w:p w14:paraId="1BA5B746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74CC20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>Erikson, E. H. (1963). Childhood and society. Norton.</w:t>
      </w:r>
    </w:p>
    <w:p w14:paraId="7EC7BD57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B7AB04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Fahlberg, V. (2012). </w:t>
      </w:r>
      <w:r w:rsidRPr="00BA5188">
        <w:rPr>
          <w:rFonts w:ascii="Bahnschrift" w:hAnsi="Bahnschrift"/>
          <w:i/>
          <w:iCs/>
        </w:rPr>
        <w:t xml:space="preserve">A child's journey through placement. </w:t>
      </w:r>
      <w:r w:rsidRPr="00BA5188">
        <w:rPr>
          <w:rFonts w:ascii="Bahnschrift" w:hAnsi="Bahnschrift"/>
        </w:rPr>
        <w:t>Jessica Kingsley Publishers.</w:t>
      </w:r>
    </w:p>
    <w:p w14:paraId="54288E65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EB9FA5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>Fuentes-Balderrama, J., Cruz del Castillo, C., Ojeda García, A., Díaz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Loving, R., Turnbull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Plaza, B., &amp; Parra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Cardona, J.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 xml:space="preserve">R. (2020). The effects of parenting styles on internalizing and externalizing behaviors: A Mexican preadolescents study. </w:t>
      </w:r>
      <w:r w:rsidRPr="00BA5188">
        <w:rPr>
          <w:rFonts w:ascii="Bahnschrift" w:hAnsi="Bahnschrift"/>
          <w:i/>
          <w:iCs/>
        </w:rPr>
        <w:t>International Journal of Psychological Research, 13</w:t>
      </w:r>
      <w:r w:rsidRPr="00BA5188">
        <w:rPr>
          <w:rFonts w:ascii="Bahnschrift" w:hAnsi="Bahnschrift"/>
        </w:rPr>
        <w:t>(1), 9</w:t>
      </w:r>
      <w:r w:rsidRPr="00BA5188">
        <w:rPr>
          <w:rFonts w:ascii="Bahnschrift" w:hAnsi="Bahnschrift" w:cs="Bahnschrift"/>
        </w:rPr>
        <w:t>–</w:t>
      </w:r>
      <w:r w:rsidRPr="00BA5188">
        <w:rPr>
          <w:rFonts w:ascii="Bahnschrift" w:hAnsi="Bahnschrift"/>
        </w:rPr>
        <w:t>18. https://doi.org/10.21500/20112084.4478</w:t>
      </w:r>
    </w:p>
    <w:p w14:paraId="1458467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936486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Gomonod, C. H., Ebarle, C. J. P., Libres, M. A., Cartajenas, J. D. B., Gacang, C. L., Pioquinto, J. F. N., &amp; Saldivar, J. M. N. (2025). Garden of second chances: Lived experiences of Bahay Pag-Asa personnel in handling children in conflict with the law. </w:t>
      </w:r>
      <w:r w:rsidRPr="00BA5188">
        <w:rPr>
          <w:rFonts w:ascii="Bahnschrift" w:hAnsi="Bahnschrift"/>
          <w:i/>
          <w:iCs/>
        </w:rPr>
        <w:t>International Journal of Politics, Public Policy and Social Works, 7</w:t>
      </w:r>
      <w:r w:rsidRPr="00BA5188">
        <w:rPr>
          <w:rFonts w:ascii="Bahnschrift" w:hAnsi="Bahnschrift"/>
        </w:rPr>
        <w:t>(16), 27-47. https://doi.org/10.35631/IJPPSW.716003</w:t>
      </w:r>
    </w:p>
    <w:p w14:paraId="46842BBE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66398A" w14:textId="3871F646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Grant, A. M. (2007). Relational job design and the motivation to make a prosocial difference. </w:t>
      </w:r>
      <w:r w:rsidRPr="00BA5188">
        <w:rPr>
          <w:rFonts w:ascii="Bahnschrift" w:hAnsi="Bahnschrift"/>
          <w:i/>
          <w:iCs/>
        </w:rPr>
        <w:t>Academy of Management Review, 32</w:t>
      </w:r>
      <w:r w:rsidRPr="00BA5188">
        <w:rPr>
          <w:rFonts w:ascii="Bahnschrift" w:hAnsi="Bahnschrift"/>
        </w:rPr>
        <w:t>(2), 393–417. https://www.jstor.org/stable/20159308</w:t>
      </w:r>
    </w:p>
    <w:p w14:paraId="2FBA328F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lastRenderedPageBreak/>
        <w:t>Hagaman, J.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L., Trout, A.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L., Chmelka, M.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>B., Thompson, R.</w:t>
      </w:r>
      <w:r w:rsidRPr="00BA5188">
        <w:rPr>
          <w:rFonts w:ascii="Arial" w:hAnsi="Arial" w:cs="Arial"/>
        </w:rPr>
        <w:t> </w:t>
      </w:r>
      <w:r w:rsidRPr="00BA5188">
        <w:rPr>
          <w:rFonts w:ascii="Bahnschrift" w:hAnsi="Bahnschrift"/>
        </w:rPr>
        <w:t xml:space="preserve">W., &amp; Reid, R. (2010). Risk profiles of children entering residential care: A cluster analysis. </w:t>
      </w:r>
      <w:r w:rsidRPr="00BA5188">
        <w:rPr>
          <w:rFonts w:ascii="Bahnschrift" w:hAnsi="Bahnschrift"/>
          <w:i/>
          <w:iCs/>
        </w:rPr>
        <w:t>Journal of Child and Family Studies, 19</w:t>
      </w:r>
      <w:r w:rsidRPr="00BA5188">
        <w:rPr>
          <w:rFonts w:ascii="Bahnschrift" w:hAnsi="Bahnschrift"/>
        </w:rPr>
        <w:t>(4), 525</w:t>
      </w:r>
      <w:r w:rsidRPr="00BA5188">
        <w:rPr>
          <w:rFonts w:ascii="Bahnschrift" w:hAnsi="Bahnschrift" w:cs="Bahnschrift"/>
        </w:rPr>
        <w:t>–</w:t>
      </w:r>
      <w:r w:rsidRPr="00BA5188">
        <w:rPr>
          <w:rFonts w:ascii="Bahnschrift" w:hAnsi="Bahnschrift"/>
        </w:rPr>
        <w:t>535. https://doi.org/10.1007/s10826-009-9325-3</w:t>
      </w:r>
    </w:p>
    <w:p w14:paraId="1532601C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9DC29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Husserl, E. (1931). </w:t>
      </w:r>
      <w:r w:rsidRPr="00BA5188">
        <w:rPr>
          <w:rFonts w:ascii="Bahnschrift" w:hAnsi="Bahnschrift"/>
          <w:i/>
          <w:iCs/>
        </w:rPr>
        <w:t>Ideas: General introduction to pure phenomenology</w:t>
      </w:r>
      <w:r w:rsidRPr="00BA5188">
        <w:rPr>
          <w:rFonts w:ascii="Bahnschrift" w:hAnsi="Bahnschrift"/>
        </w:rPr>
        <w:t xml:space="preserve"> (W. R. Boyce Gibson, Trans.). Macmillan.</w:t>
      </w:r>
    </w:p>
    <w:p w14:paraId="673E6847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ab/>
      </w:r>
    </w:p>
    <w:p w14:paraId="603354B1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Lamberte, C. (2018). An analysis of houseparents role performance in a residential care. </w:t>
      </w:r>
      <w:r w:rsidRPr="00BA5188">
        <w:rPr>
          <w:rFonts w:ascii="Bahnschrift" w:hAnsi="Bahnschrift"/>
          <w:i/>
          <w:iCs/>
        </w:rPr>
        <w:t>Facility for Children Social Work Journal, 5</w:t>
      </w:r>
      <w:r w:rsidRPr="00BA5188">
        <w:rPr>
          <w:rFonts w:ascii="Bahnschrift" w:hAnsi="Bahnschrift"/>
        </w:rPr>
        <w:t>(3), 16-19.</w:t>
      </w:r>
    </w:p>
    <w:p w14:paraId="2C44EF88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A5F717" w14:textId="01BD698F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Martillano, F. (2025). Gurit nin Paglaom: Houseparents' evaluation on the effectiveness of expressive </w:t>
      </w:r>
      <w:r w:rsidRPr="00BA5188">
        <w:rPr>
          <w:rFonts w:ascii="Bahnschrift" w:hAnsi="Bahnschrift"/>
        </w:rPr>
        <w:tab/>
        <w:t xml:space="preserve">arts therapy for the abandoned and neglected children. </w:t>
      </w:r>
      <w:r w:rsidRPr="00BA5188">
        <w:rPr>
          <w:rFonts w:ascii="Bahnschrift" w:hAnsi="Bahnschrift"/>
          <w:i/>
          <w:iCs/>
        </w:rPr>
        <w:t>Journal of Interdisciplinary Perspectives, 3</w:t>
      </w:r>
      <w:r w:rsidRPr="00BA5188">
        <w:rPr>
          <w:rFonts w:ascii="Bahnschrift" w:hAnsi="Bahnschrift"/>
        </w:rPr>
        <w:t>(6), 13–24. https://doi.org/10.69569/jip.2025.201</w:t>
      </w:r>
    </w:p>
    <w:p w14:paraId="6471EDD1" w14:textId="77777777" w:rsidR="00D31EB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052085" w14:textId="0701A05E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Maslow, A. H. (1943). A theory of human motivation. </w:t>
      </w:r>
      <w:r w:rsidRPr="00BA5188">
        <w:rPr>
          <w:rFonts w:ascii="Bahnschrift" w:hAnsi="Bahnschrift"/>
          <w:i/>
          <w:iCs/>
        </w:rPr>
        <w:t>Psychological Review, 50</w:t>
      </w:r>
      <w:r w:rsidRPr="00BA5188">
        <w:rPr>
          <w:rFonts w:ascii="Bahnschrift" w:hAnsi="Bahnschrift"/>
        </w:rPr>
        <w:t>(4), 370–396. https://doi.org/10.1037/h0054346</w:t>
      </w:r>
    </w:p>
    <w:p w14:paraId="34BD6F3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5FCC0B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Sina-on, G. M., Cometa-Lamberte, H. &amp; Camba-Jontarciego, D. R. (2022). An exploratory study on the challenges encountered and strategies employed by the Philippine child caring agencies amidst Covid-19: Social work administration in the new normal. </w:t>
      </w:r>
      <w:r w:rsidRPr="00BA5188">
        <w:rPr>
          <w:rFonts w:ascii="Bahnschrift" w:hAnsi="Bahnschrift"/>
          <w:i/>
          <w:iCs/>
        </w:rPr>
        <w:t>ASEAN Social Work Journal, 10</w:t>
      </w:r>
      <w:r w:rsidRPr="00BA5188">
        <w:rPr>
          <w:rFonts w:ascii="Bahnschrift" w:hAnsi="Bahnschrift"/>
        </w:rPr>
        <w:t>(2), 1–13. https://doi.org/10.58671/aswj.v10i2.12</w:t>
      </w:r>
    </w:p>
    <w:p w14:paraId="1023BE01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3CF771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Suryaningsi, S., Marwiah, M., Pardosi, J., Jamil, J., Asnar, A., Rahmad, E., &amp; Wahyudi, M. R. (2022). Handling juvenile delinquency: The role of the social welfare service in handling cases in Samarinda City. </w:t>
      </w:r>
      <w:r w:rsidRPr="00BA5188">
        <w:rPr>
          <w:rFonts w:ascii="Bahnschrift" w:hAnsi="Bahnschrift"/>
          <w:i/>
          <w:iCs/>
        </w:rPr>
        <w:t>Aksara:</w:t>
      </w:r>
      <w:r w:rsidRPr="00BA5188">
        <w:rPr>
          <w:rFonts w:ascii="Bahnschrift" w:hAnsi="Bahnschrift"/>
        </w:rPr>
        <w:t xml:space="preserve"> </w:t>
      </w:r>
      <w:r w:rsidRPr="00BA5188">
        <w:rPr>
          <w:rFonts w:ascii="Bahnschrift" w:hAnsi="Bahnschrift"/>
          <w:i/>
          <w:iCs/>
        </w:rPr>
        <w:t>Jurnal Ilmu Pendidikan Nonformal, 8</w:t>
      </w:r>
      <w:r w:rsidRPr="00BA5188">
        <w:rPr>
          <w:rFonts w:ascii="Bahnschrift" w:hAnsi="Bahnschrift"/>
        </w:rPr>
        <w:t>(2), 1417–1428. https://doi.org/10.37905/aksara.8.2.1417-1428.2022</w:t>
      </w:r>
    </w:p>
    <w:p w14:paraId="2BED840B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EF533E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Rago-Castillo, M. (2014). Healing comes in full at DSWD's home for girls. </w:t>
      </w:r>
      <w:r w:rsidRPr="00BA5188">
        <w:rPr>
          <w:rFonts w:ascii="Bahnschrift" w:hAnsi="Bahnschrift"/>
          <w:i/>
          <w:iCs/>
        </w:rPr>
        <w:t>Rappler</w:t>
      </w:r>
      <w:r w:rsidRPr="00BA5188">
        <w:rPr>
          <w:rFonts w:ascii="Bahnschrift" w:hAnsi="Bahnschrift"/>
        </w:rPr>
        <w:t>. https://www.rappler.com/moveph/66972-healing-dswd-home-for-girls/</w:t>
      </w:r>
    </w:p>
    <w:p w14:paraId="655942AB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5F8F76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Republic Act No. 7610 (1992). </w:t>
      </w:r>
      <w:r w:rsidRPr="00BA5188">
        <w:rPr>
          <w:rFonts w:ascii="Bahnschrift" w:hAnsi="Bahnschrift"/>
          <w:i/>
          <w:iCs/>
        </w:rPr>
        <w:t>An Act Providing for Stronger Deterrence and Special Protection Against Child Abuse, Exploitation and Discrimination</w:t>
      </w:r>
      <w:r w:rsidRPr="00BA5188">
        <w:rPr>
          <w:rFonts w:ascii="Bahnschrift" w:hAnsi="Bahnschrift"/>
        </w:rPr>
        <w:t>. https://lawphil.net/statutes/repacts/ra1992/ra_7610_1992.html</w:t>
      </w:r>
    </w:p>
    <w:p w14:paraId="690F669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DF04E6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United Nations Children’s Fund [UNICEF] (2023). </w:t>
      </w:r>
      <w:r w:rsidRPr="00BA5188">
        <w:rPr>
          <w:rFonts w:ascii="Bahnschrift" w:hAnsi="Bahnschrift"/>
          <w:i/>
          <w:iCs/>
        </w:rPr>
        <w:t>Children in alternative care</w:t>
      </w:r>
      <w:r w:rsidRPr="00BA5188">
        <w:rPr>
          <w:rFonts w:ascii="Bahnschrift" w:hAnsi="Bahnschrift"/>
        </w:rPr>
        <w:t>. https://data.unicef.org/topic/child-protection/children-alternative-care/</w:t>
      </w:r>
    </w:p>
    <w:p w14:paraId="1CCBA9D3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3EB4F4" w14:textId="77777777" w:rsidR="00D31EB8" w:rsidRPr="00BA5188" w:rsidRDefault="00D31EB8" w:rsidP="00D31EB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A5188">
        <w:rPr>
          <w:rFonts w:ascii="Bahnschrift" w:hAnsi="Bahnschrift"/>
        </w:rPr>
        <w:t xml:space="preserve">Wrzesniewski, A., Mccauley, C., Rozin, P., &amp; Schwartz, B. (1997). Jobs, careers, and callings: People's relations to their work. </w:t>
      </w:r>
      <w:r w:rsidRPr="00BA5188">
        <w:rPr>
          <w:rFonts w:ascii="Bahnschrift" w:hAnsi="Bahnschrift"/>
          <w:i/>
          <w:iCs/>
        </w:rPr>
        <w:t>Journal of Research in Personality, 31</w:t>
      </w:r>
      <w:r w:rsidRPr="00BA5188">
        <w:rPr>
          <w:rFonts w:ascii="Bahnschrift" w:hAnsi="Bahnschrift"/>
        </w:rPr>
        <w:t>(1), 21–33. https://doi.org/10.1006/jrpe.1997.2162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C2420" w14:textId="77777777" w:rsidR="00630839" w:rsidRDefault="00630839" w:rsidP="00290EE2">
      <w:pPr>
        <w:spacing w:after="0" w:line="240" w:lineRule="auto"/>
      </w:pPr>
      <w:r>
        <w:separator/>
      </w:r>
    </w:p>
  </w:endnote>
  <w:endnote w:type="continuationSeparator" w:id="0">
    <w:p w14:paraId="3DD1AC24" w14:textId="77777777" w:rsidR="00630839" w:rsidRDefault="0063083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F1F0D" w14:textId="77777777" w:rsidR="00630839" w:rsidRDefault="00630839" w:rsidP="00290EE2">
      <w:pPr>
        <w:spacing w:after="0" w:line="240" w:lineRule="auto"/>
      </w:pPr>
      <w:r>
        <w:separator/>
      </w:r>
    </w:p>
  </w:footnote>
  <w:footnote w:type="continuationSeparator" w:id="0">
    <w:p w14:paraId="0C4F0691" w14:textId="77777777" w:rsidR="00630839" w:rsidRDefault="0063083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05FE9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0839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269F4"/>
    <w:rsid w:val="00D31EB8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EB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35</cp:revision>
  <cp:lastPrinted>2026-02-21T05:03:00Z</cp:lastPrinted>
  <dcterms:created xsi:type="dcterms:W3CDTF">2025-12-03T11:08:00Z</dcterms:created>
  <dcterms:modified xsi:type="dcterms:W3CDTF">2026-04-28T01:25:00Z</dcterms:modified>
</cp:coreProperties>
</file>