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37EE9" w14:textId="77777777" w:rsidR="00EA5B8A" w:rsidRPr="00033F45" w:rsidRDefault="00EA5B8A" w:rsidP="00EA5B8A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033F45">
        <w:rPr>
          <w:rFonts w:ascii="Arial Rounded MT Bold" w:hAnsi="Arial Rounded MT Bold"/>
          <w:b/>
          <w:bCs/>
        </w:rPr>
        <w:t>REFERENCES</w:t>
      </w:r>
    </w:p>
    <w:p w14:paraId="7D188BE7" w14:textId="77777777" w:rsidR="00EA5B8A" w:rsidRPr="00033F45" w:rsidRDefault="00EA5B8A" w:rsidP="00EA5B8A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1BC2643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033F45">
        <w:rPr>
          <w:rFonts w:ascii="Bahnschrift" w:hAnsi="Bahnschrift"/>
        </w:rPr>
        <w:t>Adegbore</w:t>
      </w:r>
      <w:proofErr w:type="spellEnd"/>
      <w:r w:rsidRPr="00033F45">
        <w:rPr>
          <w:rFonts w:ascii="Bahnschrift" w:hAnsi="Bahnschrift"/>
        </w:rPr>
        <w:t xml:space="preserve">, A. (2010). Automation in Nigerian university libraries: Challenges and benefits. </w:t>
      </w:r>
      <w:r w:rsidRPr="00654392">
        <w:rPr>
          <w:rFonts w:ascii="Bahnschrift" w:hAnsi="Bahnschrift"/>
          <w:i/>
          <w:iCs/>
        </w:rPr>
        <w:t>International Journal of Library and Information Science, 2</w:t>
      </w:r>
      <w:r w:rsidRPr="001F5E6D">
        <w:rPr>
          <w:rFonts w:ascii="Bahnschrift" w:hAnsi="Bahnschrift"/>
        </w:rPr>
        <w:t>(5), 85–92.</w:t>
      </w:r>
    </w:p>
    <w:p w14:paraId="1A14B03C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6B9A3BF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 xml:space="preserve">Agyeman, S., &amp; Bilson, B. (2015). The role of libraries in enhancing students’ academic development. </w:t>
      </w:r>
      <w:r w:rsidRPr="00654392">
        <w:rPr>
          <w:rFonts w:ascii="Bahnschrift" w:hAnsi="Bahnschrift"/>
          <w:i/>
          <w:iCs/>
        </w:rPr>
        <w:t>Journal of Educational Research,</w:t>
      </w:r>
      <w:r w:rsidRPr="00033F45">
        <w:rPr>
          <w:rFonts w:ascii="Bahnschrift" w:hAnsi="Bahnschrift"/>
        </w:rPr>
        <w:t xml:space="preserve"> </w:t>
      </w:r>
      <w:r w:rsidRPr="00654392">
        <w:rPr>
          <w:rFonts w:ascii="Bahnschrift" w:hAnsi="Bahnschrift"/>
          <w:i/>
          <w:iCs/>
        </w:rPr>
        <w:t>8</w:t>
      </w:r>
      <w:r w:rsidRPr="001F5E6D">
        <w:rPr>
          <w:rFonts w:ascii="Bahnschrift" w:hAnsi="Bahnschrift"/>
        </w:rPr>
        <w:t>(3), 45–56.</w:t>
      </w:r>
    </w:p>
    <w:p w14:paraId="3ACBA7D6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1F2813A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>Al-</w:t>
      </w:r>
      <w:proofErr w:type="spellStart"/>
      <w:r w:rsidRPr="00033F45">
        <w:rPr>
          <w:rFonts w:ascii="Bahnschrift" w:hAnsi="Bahnschrift"/>
        </w:rPr>
        <w:t>Busaidi</w:t>
      </w:r>
      <w:proofErr w:type="spellEnd"/>
      <w:r w:rsidRPr="00033F45">
        <w:rPr>
          <w:rFonts w:ascii="Bahnschrift" w:hAnsi="Bahnschrift"/>
        </w:rPr>
        <w:t>, K., &amp; Al-</w:t>
      </w:r>
      <w:proofErr w:type="spellStart"/>
      <w:r w:rsidRPr="00033F45">
        <w:rPr>
          <w:rFonts w:ascii="Bahnschrift" w:hAnsi="Bahnschrift"/>
        </w:rPr>
        <w:t>Shihi</w:t>
      </w:r>
      <w:proofErr w:type="spellEnd"/>
      <w:r w:rsidRPr="00033F45">
        <w:rPr>
          <w:rFonts w:ascii="Bahnschrift" w:hAnsi="Bahnschrift"/>
        </w:rPr>
        <w:t xml:space="preserve">, H. (2018). Factors influencing e-learning adoption in higher education. </w:t>
      </w:r>
      <w:r w:rsidRPr="00654392">
        <w:rPr>
          <w:rFonts w:ascii="Bahnschrift" w:hAnsi="Bahnschrift"/>
          <w:i/>
          <w:iCs/>
        </w:rPr>
        <w:t>International Journal of Information and Education Technology, 8</w:t>
      </w:r>
      <w:r w:rsidRPr="001F5E6D">
        <w:rPr>
          <w:rFonts w:ascii="Bahnschrift" w:hAnsi="Bahnschrift"/>
        </w:rPr>
        <w:t>(1), 34–40.</w:t>
      </w:r>
      <w:r w:rsidRPr="00033F45">
        <w:rPr>
          <w:rFonts w:ascii="Bahnschrift" w:hAnsi="Bahnschrift"/>
        </w:rPr>
        <w:t xml:space="preserve"> </w:t>
      </w:r>
      <w:r w:rsidRPr="00654392">
        <w:rPr>
          <w:rFonts w:ascii="Bahnschrift" w:hAnsi="Bahnschrift"/>
        </w:rPr>
        <w:t>https://doi.org/10.18178/ijiet.2018.8.1.1009</w:t>
      </w:r>
    </w:p>
    <w:p w14:paraId="3F5468A9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3FE606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033F45">
        <w:rPr>
          <w:rFonts w:ascii="Bahnschrift" w:hAnsi="Bahnschrift"/>
        </w:rPr>
        <w:t>Alalwan</w:t>
      </w:r>
      <w:proofErr w:type="spellEnd"/>
      <w:r w:rsidRPr="00033F45">
        <w:rPr>
          <w:rFonts w:ascii="Bahnschrift" w:hAnsi="Bahnschrift"/>
        </w:rPr>
        <w:t xml:space="preserve">, N., Dwivedi, Y., Rana, N., &amp; Williams, M. D. (2020). Digital technology adoption in higher education: A systematic review. </w:t>
      </w:r>
      <w:r w:rsidRPr="00654392">
        <w:rPr>
          <w:rFonts w:ascii="Bahnschrift" w:hAnsi="Bahnschrift"/>
          <w:i/>
          <w:iCs/>
        </w:rPr>
        <w:t xml:space="preserve">Education and Information Technologies, 25, </w:t>
      </w:r>
      <w:r w:rsidRPr="001F5E6D">
        <w:rPr>
          <w:rFonts w:ascii="Bahnschrift" w:hAnsi="Bahnschrift"/>
        </w:rPr>
        <w:t>2103–2128.</w:t>
      </w:r>
      <w:r w:rsidRPr="00033F45">
        <w:rPr>
          <w:rFonts w:ascii="Bahnschrift" w:hAnsi="Bahnschrift"/>
        </w:rPr>
        <w:t xml:space="preserve"> https://doi.org/10.1007/s10639-019-10074-9</w:t>
      </w:r>
    </w:p>
    <w:p w14:paraId="42684AB9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076D2E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 xml:space="preserve">Alhassan, R., Ibrahim, A., &amp; Mensah, S. (2022). Evaluating software systems in academic libraries using ISO/IEC 25010 standards. </w:t>
      </w:r>
      <w:r w:rsidRPr="00654392">
        <w:rPr>
          <w:rFonts w:ascii="Bahnschrift" w:hAnsi="Bahnschrift"/>
          <w:i/>
          <w:iCs/>
        </w:rPr>
        <w:t>Library Hi Tech, 40</w:t>
      </w:r>
      <w:r w:rsidRPr="001F5E6D">
        <w:rPr>
          <w:rFonts w:ascii="Bahnschrift" w:hAnsi="Bahnschrift"/>
        </w:rPr>
        <w:t>(2), 345–361.</w:t>
      </w:r>
      <w:r w:rsidRPr="00033F45">
        <w:rPr>
          <w:rFonts w:ascii="Bahnschrift" w:hAnsi="Bahnschrift"/>
        </w:rPr>
        <w:t xml:space="preserve"> https://doi.org/10.1108/LHT-05-2021-0112</w:t>
      </w:r>
    </w:p>
    <w:p w14:paraId="55F44C9C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82BE0C7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 xml:space="preserve">Amad, A., Iqbal, R., &amp; Anas, M. (2014). Impact of automation on library services in Aligarh universities. </w:t>
      </w:r>
      <w:r w:rsidRPr="00654392">
        <w:rPr>
          <w:rFonts w:ascii="Bahnschrift" w:hAnsi="Bahnschrift"/>
          <w:i/>
          <w:iCs/>
        </w:rPr>
        <w:t>Library Philosophy and Practice</w:t>
      </w:r>
      <w:r w:rsidRPr="00033F45">
        <w:rPr>
          <w:rFonts w:ascii="Bahnschrift" w:hAnsi="Bahnschrift"/>
        </w:rPr>
        <w:t>. https://digitalcommons.unl.edu/libphilprac/</w:t>
      </w:r>
    </w:p>
    <w:p w14:paraId="665AFF8B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C0A5BC0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 xml:space="preserve">Gbadamosi, B. (2011). ISO/IEC 25010 standards for evaluating software product quality. </w:t>
      </w:r>
      <w:r w:rsidRPr="001F5E6D">
        <w:rPr>
          <w:rFonts w:ascii="Bahnschrift" w:hAnsi="Bahnschrift"/>
          <w:i/>
          <w:iCs/>
        </w:rPr>
        <w:t>International Journal of Software Engineering, 6</w:t>
      </w:r>
      <w:r w:rsidRPr="00033F45">
        <w:rPr>
          <w:rFonts w:ascii="Bahnschrift" w:hAnsi="Bahnschrift"/>
        </w:rPr>
        <w:t>(4), 25–36.</w:t>
      </w:r>
    </w:p>
    <w:p w14:paraId="446EAFF0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5606633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>ISO/IEC. (2011). Systems and software engineering — Systems and software Quality Requirements and Evaluation (</w:t>
      </w:r>
      <w:proofErr w:type="spellStart"/>
      <w:r w:rsidRPr="00033F45">
        <w:rPr>
          <w:rFonts w:ascii="Bahnschrift" w:hAnsi="Bahnschrift"/>
        </w:rPr>
        <w:t>SQuaRE</w:t>
      </w:r>
      <w:proofErr w:type="spellEnd"/>
      <w:r w:rsidRPr="00033F45">
        <w:rPr>
          <w:rFonts w:ascii="Bahnschrift" w:hAnsi="Bahnschrift"/>
        </w:rPr>
        <w:t xml:space="preserve">) — System and software quality models (ISO/IEC 25010:2011). </w:t>
      </w:r>
      <w:r w:rsidRPr="00654392">
        <w:rPr>
          <w:rFonts w:ascii="Bahnschrift" w:hAnsi="Bahnschrift"/>
          <w:i/>
          <w:iCs/>
        </w:rPr>
        <w:t>International Organization for Standardization</w:t>
      </w:r>
      <w:r w:rsidRPr="00033F45">
        <w:rPr>
          <w:rFonts w:ascii="Bahnschrift" w:hAnsi="Bahnschrift"/>
        </w:rPr>
        <w:t>.</w:t>
      </w:r>
    </w:p>
    <w:p w14:paraId="3E3D8E77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A8F4033" w14:textId="77777777" w:rsidR="00EA5B8A" w:rsidRPr="00A13CF7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 xml:space="preserve">Lourdes, M. (2012). Library automation and information access in the DOST-ESEP network: A Philippine case study. </w:t>
      </w:r>
      <w:r w:rsidRPr="00654392">
        <w:rPr>
          <w:rFonts w:ascii="Bahnschrift" w:hAnsi="Bahnschrift"/>
          <w:i/>
          <w:iCs/>
        </w:rPr>
        <w:t>Philippine Journal of Library and Information Science, 5</w:t>
      </w:r>
      <w:r w:rsidRPr="00A13CF7">
        <w:rPr>
          <w:rFonts w:ascii="Bahnschrift" w:hAnsi="Bahnschrift"/>
        </w:rPr>
        <w:t>(1), 15–28.</w:t>
      </w:r>
    </w:p>
    <w:p w14:paraId="449EBD9E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8DD2F1E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 xml:space="preserve">Manjunath, G. (2008). Library automation: Concepts, benefits, and challenges. </w:t>
      </w:r>
      <w:r w:rsidRPr="00654392">
        <w:rPr>
          <w:rFonts w:ascii="Bahnschrift" w:hAnsi="Bahnschrift"/>
          <w:i/>
          <w:iCs/>
        </w:rPr>
        <w:t>Annals of Library and Information Studies, 55</w:t>
      </w:r>
      <w:r w:rsidRPr="00A13CF7">
        <w:rPr>
          <w:rFonts w:ascii="Bahnschrift" w:hAnsi="Bahnschrift"/>
        </w:rPr>
        <w:t>(1), 33–39.</w:t>
      </w:r>
    </w:p>
    <w:p w14:paraId="786547C5" w14:textId="77777777" w:rsidR="00EA5B8A" w:rsidRPr="001F5E6D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0"/>
          <w:szCs w:val="20"/>
        </w:rPr>
      </w:pPr>
    </w:p>
    <w:p w14:paraId="607F4168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 xml:space="preserve">Nunekpeku, S. (2019). Effectiveness of automated library systems in improving academic library services: Evidence from the University of Cape Coast. </w:t>
      </w:r>
      <w:r w:rsidRPr="00654392">
        <w:rPr>
          <w:rFonts w:ascii="Bahnschrift" w:hAnsi="Bahnschrift"/>
          <w:i/>
          <w:iCs/>
        </w:rPr>
        <w:t>Library Management, 40</w:t>
      </w:r>
      <w:r w:rsidRPr="001F5E6D">
        <w:rPr>
          <w:rFonts w:ascii="Bahnschrift" w:hAnsi="Bahnschrift"/>
        </w:rPr>
        <w:t>(7/8), 565–579.</w:t>
      </w:r>
      <w:r w:rsidRPr="00033F45">
        <w:rPr>
          <w:rFonts w:ascii="Bahnschrift" w:hAnsi="Bahnschrift"/>
        </w:rPr>
        <w:t xml:space="preserve"> https://doi.org/10.1108/LM-01-2019-0003</w:t>
      </w:r>
    </w:p>
    <w:p w14:paraId="0CFD21E7" w14:textId="77777777" w:rsidR="00EA5B8A" w:rsidRPr="001F5E6D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0"/>
          <w:szCs w:val="20"/>
        </w:rPr>
      </w:pPr>
    </w:p>
    <w:p w14:paraId="660A5CB4" w14:textId="77777777" w:rsidR="00EA5B8A" w:rsidRPr="001F5E6D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 xml:space="preserve">Orendain, A., &amp; </w:t>
      </w:r>
      <w:proofErr w:type="spellStart"/>
      <w:r w:rsidRPr="00033F45">
        <w:rPr>
          <w:rFonts w:ascii="Bahnschrift" w:hAnsi="Bahnschrift"/>
        </w:rPr>
        <w:t>Serafico</w:t>
      </w:r>
      <w:proofErr w:type="spellEnd"/>
      <w:r w:rsidRPr="00033F45">
        <w:rPr>
          <w:rFonts w:ascii="Bahnschrift" w:hAnsi="Bahnschrift"/>
        </w:rPr>
        <w:t xml:space="preserve">, R. (2018). Challenges of manual library operations in Philippine higher education institutions. </w:t>
      </w:r>
      <w:r w:rsidRPr="00654392">
        <w:rPr>
          <w:rFonts w:ascii="Bahnschrift" w:hAnsi="Bahnschrift"/>
          <w:i/>
          <w:iCs/>
        </w:rPr>
        <w:t>Asian Journal of Library and Information Science, 6</w:t>
      </w:r>
      <w:r w:rsidRPr="001F5E6D">
        <w:rPr>
          <w:rFonts w:ascii="Bahnschrift" w:hAnsi="Bahnschrift"/>
        </w:rPr>
        <w:t>(2), 1–10.</w:t>
      </w:r>
    </w:p>
    <w:p w14:paraId="369351AA" w14:textId="77777777" w:rsidR="00EA5B8A" w:rsidRPr="001F5E6D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0"/>
          <w:szCs w:val="20"/>
        </w:rPr>
      </w:pPr>
    </w:p>
    <w:p w14:paraId="4CB0AC4A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 xml:space="preserve">Pressman, R. S., &amp; Maxim, B. R. (2021). Software engineering: A practitioner’s approach (9th ed.). </w:t>
      </w:r>
      <w:r w:rsidRPr="00654392">
        <w:rPr>
          <w:rFonts w:ascii="Bahnschrift" w:hAnsi="Bahnschrift"/>
          <w:i/>
          <w:iCs/>
        </w:rPr>
        <w:t>McGraw-Hill Education</w:t>
      </w:r>
      <w:r w:rsidRPr="00033F45">
        <w:rPr>
          <w:rFonts w:ascii="Bahnschrift" w:hAnsi="Bahnschrift"/>
        </w:rPr>
        <w:t>.</w:t>
      </w:r>
    </w:p>
    <w:p w14:paraId="30CE824D" w14:textId="77777777" w:rsidR="00EA5B8A" w:rsidRPr="001F5E6D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0"/>
          <w:szCs w:val="20"/>
        </w:rPr>
      </w:pPr>
    </w:p>
    <w:p w14:paraId="7D69A1A1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lastRenderedPageBreak/>
        <w:t xml:space="preserve">Rahman, M., Hossain, M., &amp; Islam, S. (2019). QR code integration in library management systems: Enhancing efficiency and usability. </w:t>
      </w:r>
      <w:r w:rsidRPr="00654392">
        <w:rPr>
          <w:rFonts w:ascii="Bahnschrift" w:hAnsi="Bahnschrift"/>
          <w:i/>
          <w:iCs/>
        </w:rPr>
        <w:t>Journal of Academic Librarianship, 45(</w:t>
      </w:r>
      <w:r w:rsidRPr="001F5E6D">
        <w:rPr>
          <w:rFonts w:ascii="Bahnschrift" w:hAnsi="Bahnschrift"/>
        </w:rPr>
        <w:t>4), 256–264.</w:t>
      </w:r>
      <w:r w:rsidRPr="00033F45">
        <w:rPr>
          <w:rFonts w:ascii="Bahnschrift" w:hAnsi="Bahnschrift"/>
        </w:rPr>
        <w:t xml:space="preserve"> </w:t>
      </w:r>
      <w:r w:rsidRPr="001F5E6D">
        <w:rPr>
          <w:rFonts w:ascii="Bahnschrift" w:hAnsi="Bahnschrift"/>
          <w:sz w:val="21"/>
          <w:szCs w:val="21"/>
        </w:rPr>
        <w:t>https://doi.org/10.1016/j.acalib.2019.05.007</w:t>
      </w:r>
    </w:p>
    <w:p w14:paraId="586A9FA3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7B1DB0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 xml:space="preserve">Rubin, R., &amp; Rubin, M. (2020). Academic libraries in the digital age: Collection management and access. </w:t>
      </w:r>
      <w:r w:rsidRPr="00654392">
        <w:rPr>
          <w:rFonts w:ascii="Bahnschrift" w:hAnsi="Bahnschrift"/>
          <w:i/>
          <w:iCs/>
        </w:rPr>
        <w:t>Routledge</w:t>
      </w:r>
      <w:r w:rsidRPr="00033F45">
        <w:rPr>
          <w:rFonts w:ascii="Bahnschrift" w:hAnsi="Bahnschrift"/>
        </w:rPr>
        <w:t>.</w:t>
      </w:r>
    </w:p>
    <w:p w14:paraId="472EAAE0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5E2738" w14:textId="77777777" w:rsidR="00EA5B8A" w:rsidRPr="001F5E6D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 xml:space="preserve">Shukla, S. (2018). Role of ICT in modern academic libraries. </w:t>
      </w:r>
      <w:r w:rsidRPr="00654392">
        <w:rPr>
          <w:rFonts w:ascii="Bahnschrift" w:hAnsi="Bahnschrift"/>
          <w:i/>
          <w:iCs/>
        </w:rPr>
        <w:t>International Journal of Library Science, 7</w:t>
      </w:r>
      <w:r w:rsidRPr="001F5E6D">
        <w:rPr>
          <w:rFonts w:ascii="Bahnschrift" w:hAnsi="Bahnschrift"/>
        </w:rPr>
        <w:t>(3), 45–52.</w:t>
      </w:r>
    </w:p>
    <w:p w14:paraId="0B137300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42F90CF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 xml:space="preserve">Singh, J., &amp; Kaur, A. (2020). Libraries and academic development: Promoting research and learning. </w:t>
      </w:r>
      <w:r w:rsidRPr="00654392">
        <w:rPr>
          <w:rFonts w:ascii="Bahnschrift" w:hAnsi="Bahnschrift"/>
          <w:i/>
          <w:iCs/>
        </w:rPr>
        <w:t>Library Philosophy and Practice</w:t>
      </w:r>
      <w:r w:rsidRPr="00033F45">
        <w:rPr>
          <w:rFonts w:ascii="Bahnschrift" w:hAnsi="Bahnschrift"/>
        </w:rPr>
        <w:t>. https://digitalcommons.unl.edu/libphilprac/</w:t>
      </w:r>
    </w:p>
    <w:p w14:paraId="2FD30574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D850C14" w14:textId="77777777" w:rsidR="00EA5B8A" w:rsidRPr="001F5E6D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 xml:space="preserve">Valenti, M. (2016). ICT adoption in Philippine academic libraries: A comparative study. </w:t>
      </w:r>
      <w:r w:rsidRPr="00654392">
        <w:rPr>
          <w:rFonts w:ascii="Bahnschrift" w:hAnsi="Bahnschrift"/>
          <w:i/>
          <w:iCs/>
        </w:rPr>
        <w:t>Philippine Journal of Information Science, 8(</w:t>
      </w:r>
      <w:r w:rsidRPr="001F5E6D">
        <w:rPr>
          <w:rFonts w:ascii="Bahnschrift" w:hAnsi="Bahnschrift"/>
        </w:rPr>
        <w:t>2), 33–47.</w:t>
      </w:r>
    </w:p>
    <w:p w14:paraId="042D4C69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D91642" w14:textId="77777777" w:rsidR="00EA5B8A" w:rsidRPr="001F5E6D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033F45">
        <w:rPr>
          <w:rFonts w:ascii="Bahnschrift" w:hAnsi="Bahnschrift"/>
        </w:rPr>
        <w:t>Waghmode</w:t>
      </w:r>
      <w:proofErr w:type="spellEnd"/>
      <w:r w:rsidRPr="00033F45">
        <w:rPr>
          <w:rFonts w:ascii="Bahnschrift" w:hAnsi="Bahnschrift"/>
        </w:rPr>
        <w:t xml:space="preserve">, S., &amp; Vithal, R. (2015). Automation in academic libraries: A review of ICT tools and techniques. </w:t>
      </w:r>
      <w:r w:rsidRPr="00654392">
        <w:rPr>
          <w:rFonts w:ascii="Bahnschrift" w:hAnsi="Bahnschrift"/>
          <w:i/>
          <w:iCs/>
        </w:rPr>
        <w:t>Library Progress (International), 35</w:t>
      </w:r>
      <w:r w:rsidRPr="001F5E6D">
        <w:rPr>
          <w:rFonts w:ascii="Bahnschrift" w:hAnsi="Bahnschrift"/>
        </w:rPr>
        <w:t>(2), 159–172.</w:t>
      </w:r>
    </w:p>
    <w:p w14:paraId="1B37D212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782CC30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33F45">
        <w:rPr>
          <w:rFonts w:ascii="Bahnschrift" w:hAnsi="Bahnschrift"/>
        </w:rPr>
        <w:t xml:space="preserve">Zhang, D., &amp; </w:t>
      </w:r>
      <w:proofErr w:type="spellStart"/>
      <w:r w:rsidRPr="00033F45">
        <w:rPr>
          <w:rFonts w:ascii="Bahnschrift" w:hAnsi="Bahnschrift"/>
        </w:rPr>
        <w:t>Adipat</w:t>
      </w:r>
      <w:proofErr w:type="spellEnd"/>
      <w:r w:rsidRPr="00033F45">
        <w:rPr>
          <w:rFonts w:ascii="Bahnschrift" w:hAnsi="Bahnschrift"/>
        </w:rPr>
        <w:t xml:space="preserve">, B. (2020). Enhancing operational efficiency in institutional libraries using digital systems. </w:t>
      </w:r>
      <w:r w:rsidRPr="00654392">
        <w:rPr>
          <w:rFonts w:ascii="Bahnschrift" w:hAnsi="Bahnschrift"/>
          <w:i/>
          <w:iCs/>
        </w:rPr>
        <w:t>Journal of Library Administration, 60</w:t>
      </w:r>
      <w:r w:rsidRPr="001F5E6D">
        <w:rPr>
          <w:rFonts w:ascii="Bahnschrift" w:hAnsi="Bahnschrift"/>
        </w:rPr>
        <w:t>(5), 512–530.</w:t>
      </w:r>
      <w:r w:rsidRPr="00033F45">
        <w:rPr>
          <w:rFonts w:ascii="Bahnschrift" w:hAnsi="Bahnschrift"/>
        </w:rPr>
        <w:t xml:space="preserve"> https://doi.org/10.1080/01930826.2020.1762345</w:t>
      </w:r>
    </w:p>
    <w:p w14:paraId="7FE02A7F" w14:textId="77777777" w:rsidR="00EA5B8A" w:rsidRPr="00033F45" w:rsidRDefault="00EA5B8A" w:rsidP="00EA5B8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0607E5" w14:textId="55CB3AE7" w:rsidR="00BE2113" w:rsidRPr="00C349FB" w:rsidRDefault="00EA5B8A" w:rsidP="00EA5B8A">
      <w:pPr>
        <w:ind w:left="720" w:hanging="720"/>
      </w:pPr>
      <w:proofErr w:type="spellStart"/>
      <w:r w:rsidRPr="00033F45">
        <w:rPr>
          <w:rFonts w:ascii="Bahnschrift" w:hAnsi="Bahnschrift"/>
        </w:rPr>
        <w:t>Zunhar</w:t>
      </w:r>
      <w:proofErr w:type="spellEnd"/>
      <w:r w:rsidRPr="00033F45">
        <w:rPr>
          <w:rFonts w:ascii="Bahnschrift" w:hAnsi="Bahnschrift"/>
        </w:rPr>
        <w:t xml:space="preserve">, A., Yadav, P., Markad, A., &amp; Patil, S. (2020). Design and implementation of an automated library management system. </w:t>
      </w:r>
      <w:r w:rsidRPr="001F5E6D">
        <w:rPr>
          <w:rFonts w:ascii="Bahnschrift" w:hAnsi="Bahnschrift"/>
          <w:i/>
          <w:iCs/>
        </w:rPr>
        <w:t>International Journal of Advanced Computer Science and Applications, 11</w:t>
      </w:r>
      <w:r w:rsidRPr="001F5E6D">
        <w:rPr>
          <w:rFonts w:ascii="Bahnschrift" w:hAnsi="Bahnschrift"/>
        </w:rPr>
        <w:t>(3), 132–139.</w:t>
      </w:r>
      <w:r w:rsidRPr="00033F45">
        <w:rPr>
          <w:rFonts w:ascii="Bahnschrift" w:hAnsi="Bahnschrift"/>
        </w:rPr>
        <w:t xml:space="preserve"> https://doi.org/10.14569/IJACSA.2020.0110316</w:t>
      </w:r>
    </w:p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CD358" w14:textId="77777777" w:rsidR="00511A49" w:rsidRDefault="00511A49" w:rsidP="00290EE2">
      <w:pPr>
        <w:spacing w:after="0" w:line="240" w:lineRule="auto"/>
      </w:pPr>
      <w:r>
        <w:separator/>
      </w:r>
    </w:p>
  </w:endnote>
  <w:endnote w:type="continuationSeparator" w:id="0">
    <w:p w14:paraId="0F848DDC" w14:textId="77777777" w:rsidR="00511A49" w:rsidRDefault="00511A4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AF1DC" w14:textId="77777777" w:rsidR="00511A49" w:rsidRDefault="00511A49" w:rsidP="00290EE2">
      <w:pPr>
        <w:spacing w:after="0" w:line="240" w:lineRule="auto"/>
      </w:pPr>
      <w:r>
        <w:separator/>
      </w:r>
    </w:p>
  </w:footnote>
  <w:footnote w:type="continuationSeparator" w:id="0">
    <w:p w14:paraId="1456BE5E" w14:textId="77777777" w:rsidR="00511A49" w:rsidRDefault="00511A4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511A49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073A5"/>
    <w:rsid w:val="00B52DD2"/>
    <w:rsid w:val="00BE2113"/>
    <w:rsid w:val="00C349FB"/>
    <w:rsid w:val="00C4676A"/>
    <w:rsid w:val="00D3362E"/>
    <w:rsid w:val="00D40F41"/>
    <w:rsid w:val="00D56D5A"/>
    <w:rsid w:val="00D60CC6"/>
    <w:rsid w:val="00DC7E96"/>
    <w:rsid w:val="00E02438"/>
    <w:rsid w:val="00E5333A"/>
    <w:rsid w:val="00E84A47"/>
    <w:rsid w:val="00EA227F"/>
    <w:rsid w:val="00EA5B8A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478</Words>
  <Characters>3316</Characters>
  <Application>Microsoft Office Word</Application>
  <DocSecurity>0</DocSecurity>
  <Lines>77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25</cp:revision>
  <cp:lastPrinted>2026-02-21T05:03:00Z</cp:lastPrinted>
  <dcterms:created xsi:type="dcterms:W3CDTF">2025-12-03T11:08:00Z</dcterms:created>
  <dcterms:modified xsi:type="dcterms:W3CDTF">2026-03-07T15:07:00Z</dcterms:modified>
</cp:coreProperties>
</file>