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1A761" w14:textId="77777777" w:rsidR="00DA2CCF" w:rsidRPr="00DA2CCF" w:rsidRDefault="00DA2CCF" w:rsidP="00DA2CC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  <w:color w:val="EE0000"/>
        </w:rPr>
      </w:pPr>
      <w:r w:rsidRPr="00DA2CCF">
        <w:rPr>
          <w:rFonts w:ascii="Arial Rounded MT Bold" w:hAnsi="Arial Rounded MT Bold"/>
          <w:b/>
          <w:bCs/>
        </w:rPr>
        <w:t>REFERENCES</w:t>
      </w:r>
    </w:p>
    <w:p w14:paraId="4E8F0F0D" w14:textId="77777777" w:rsidR="00DA2CCF" w:rsidRPr="00DA2CCF" w:rsidRDefault="00DA2CCF" w:rsidP="00DA2CC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1414541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Ali, M. K., Zahoor, M. K., Saeed, A., &amp; Nosheen, S. (2023). Moderating effect of vertical integration on the relationship between sustainability and performance: evidence from oil and gas energy sector. </w:t>
      </w:r>
      <w:r w:rsidRPr="00DA2CCF">
        <w:rPr>
          <w:rFonts w:ascii="Bahnschrift" w:hAnsi="Bahnschrift"/>
          <w:i/>
          <w:iCs/>
        </w:rPr>
        <w:t>Future Business Journal, 9</w:t>
      </w:r>
      <w:r w:rsidRPr="00DA2CCF">
        <w:rPr>
          <w:rFonts w:ascii="Bahnschrift" w:hAnsi="Bahnschrift"/>
        </w:rPr>
        <w:t>(1), 53. https://doi.org/10.1186/s43093-023-00236-x</w:t>
      </w:r>
    </w:p>
    <w:p w14:paraId="200ABF28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5434A0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B050"/>
        </w:rPr>
      </w:pPr>
      <w:r w:rsidRPr="00DA2CCF">
        <w:rPr>
          <w:rFonts w:ascii="Bahnschrift" w:hAnsi="Bahnschrift"/>
        </w:rPr>
        <w:t xml:space="preserve">Alotaibi, K. O., &amp; </w:t>
      </w:r>
      <w:proofErr w:type="spellStart"/>
      <w:r w:rsidRPr="00DA2CCF">
        <w:rPr>
          <w:rFonts w:ascii="Bahnschrift" w:hAnsi="Bahnschrift"/>
        </w:rPr>
        <w:t>Abdulwadod</w:t>
      </w:r>
      <w:proofErr w:type="spellEnd"/>
      <w:r w:rsidRPr="00DA2CCF">
        <w:rPr>
          <w:rFonts w:ascii="Bahnschrift" w:hAnsi="Bahnschrift"/>
        </w:rPr>
        <w:t xml:space="preserve"> Al-Dubai, S. A. (2024). Board Diversity Impact on Corporate Profitability and Environmental, Social and Governance Performance: A Study of Corporate Governance. </w:t>
      </w:r>
      <w:r w:rsidRPr="00DA2CCF">
        <w:rPr>
          <w:rFonts w:ascii="Bahnschrift" w:hAnsi="Bahnschrift"/>
          <w:i/>
          <w:iCs/>
        </w:rPr>
        <w:t>Corporate Law &amp; Governance Review, 6</w:t>
      </w:r>
      <w:r w:rsidRPr="00DA2CCF">
        <w:rPr>
          <w:rFonts w:ascii="Bahnschrift" w:hAnsi="Bahnschrift"/>
        </w:rPr>
        <w:t>(2). https://doi.org/</w:t>
      </w:r>
      <w:r w:rsidRPr="00DA2CCF">
        <w:t xml:space="preserve"> </w:t>
      </w:r>
      <w:r w:rsidRPr="00DA2CCF">
        <w:rPr>
          <w:rFonts w:ascii="Bahnschrift" w:hAnsi="Bahnschrift"/>
        </w:rPr>
        <w:t>10.22495/clgrv6i2p9</w:t>
      </w:r>
    </w:p>
    <w:p w14:paraId="5473C8D2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8EC134D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A2CCF">
        <w:rPr>
          <w:rFonts w:ascii="Bahnschrift" w:hAnsi="Bahnschrift"/>
        </w:rPr>
        <w:t>Alsayyad</w:t>
      </w:r>
      <w:proofErr w:type="spellEnd"/>
      <w:r w:rsidRPr="00DA2CCF">
        <w:rPr>
          <w:rFonts w:ascii="Bahnschrift" w:hAnsi="Bahnschrift"/>
        </w:rPr>
        <w:t xml:space="preserve">, M., &amp; Fadel, S. M. (2024). </w:t>
      </w:r>
      <w:r w:rsidRPr="00DA2CCF">
        <w:rPr>
          <w:rFonts w:ascii="Bahnschrift" w:hAnsi="Bahnschrift"/>
          <w:i/>
          <w:iCs/>
        </w:rPr>
        <w:t>Predicting ESG Scores of Oil and Gas Companies Using Fundamental Ratios and Machine Learning Techniques.</w:t>
      </w:r>
      <w:r w:rsidRPr="00DA2CCF">
        <w:rPr>
          <w:rFonts w:ascii="Bahnschrift" w:hAnsi="Bahnschrift"/>
        </w:rPr>
        <w:t xml:space="preserve"> SSRN Electronic </w:t>
      </w:r>
      <w:proofErr w:type="spellStart"/>
      <w:r w:rsidRPr="00DA2CCF">
        <w:rPr>
          <w:rFonts w:ascii="Bahnschrift" w:hAnsi="Bahnschrift"/>
        </w:rPr>
        <w:t>Journal.https</w:t>
      </w:r>
      <w:proofErr w:type="spellEnd"/>
      <w:r w:rsidRPr="00DA2CCF">
        <w:rPr>
          <w:rFonts w:ascii="Bahnschrift" w:hAnsi="Bahnschrift"/>
        </w:rPr>
        <w:t>://doi.org/10.2139/ssrn.5078654</w:t>
      </w:r>
    </w:p>
    <w:p w14:paraId="13AD6A36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D04931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Barney, J. (1991). Firm resources and sustained competitive advantage. </w:t>
      </w:r>
      <w:r w:rsidRPr="00DA2CCF">
        <w:rPr>
          <w:rFonts w:ascii="Bahnschrift" w:hAnsi="Bahnschrift"/>
          <w:i/>
          <w:iCs/>
        </w:rPr>
        <w:t>Journal of Management, 17</w:t>
      </w:r>
      <w:r w:rsidRPr="00DA2CCF">
        <w:rPr>
          <w:rFonts w:ascii="Bahnschrift" w:hAnsi="Bahnschrift"/>
        </w:rPr>
        <w:t xml:space="preserve">(1), 99–120. </w:t>
      </w:r>
      <w:hyperlink r:id="rId7" w:tgtFrame="_new" w:history="1">
        <w:r w:rsidRPr="00DA2CCF">
          <w:rPr>
            <w:rStyle w:val="Hyperlink"/>
            <w:rFonts w:ascii="Bahnschrift" w:hAnsi="Bahnschrift"/>
            <w:color w:val="auto"/>
            <w:u w:val="none"/>
          </w:rPr>
          <w:t>https://doi.org/10.1177/014920639101700108</w:t>
        </w:r>
      </w:hyperlink>
    </w:p>
    <w:p w14:paraId="1794EA1E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6E64A8E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Benni, A. T. (2023). </w:t>
      </w:r>
      <w:r w:rsidRPr="00DA2CCF">
        <w:rPr>
          <w:rFonts w:ascii="Bahnschrift" w:hAnsi="Bahnschrift"/>
          <w:i/>
          <w:iCs/>
        </w:rPr>
        <w:t>Social Sustainability in the Oil and Gas Industry in the Niger Delta Region</w:t>
      </w:r>
      <w:r w:rsidRPr="00DA2CCF">
        <w:rPr>
          <w:rFonts w:ascii="Bahnschrift" w:hAnsi="Bahnschrift"/>
        </w:rPr>
        <w:t xml:space="preserve"> [Thesis]. University of Manchester. http://hdl.handle.net/10034/627853</w:t>
      </w:r>
    </w:p>
    <w:p w14:paraId="0BC6F245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48FBE2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Cardoni, A., Kiseleva, E., &amp; </w:t>
      </w:r>
      <w:proofErr w:type="spellStart"/>
      <w:r w:rsidRPr="00DA2CCF">
        <w:rPr>
          <w:rFonts w:ascii="Bahnschrift" w:hAnsi="Bahnschrift"/>
        </w:rPr>
        <w:t>Terzani</w:t>
      </w:r>
      <w:proofErr w:type="spellEnd"/>
      <w:r w:rsidRPr="00DA2CCF">
        <w:rPr>
          <w:rFonts w:ascii="Bahnschrift" w:hAnsi="Bahnschrift"/>
        </w:rPr>
        <w:t xml:space="preserve">, S. (2019). Evaluating the intra-industry comparability of sustainability reports: the case of the oil and gas industry. </w:t>
      </w:r>
      <w:r w:rsidRPr="00DA2CCF">
        <w:rPr>
          <w:rFonts w:ascii="Bahnschrift" w:hAnsi="Bahnschrift"/>
          <w:i/>
          <w:iCs/>
        </w:rPr>
        <w:t>Sustainability, 11</w:t>
      </w:r>
      <w:r w:rsidRPr="00DA2CCF">
        <w:rPr>
          <w:rFonts w:ascii="Bahnschrift" w:hAnsi="Bahnschrift"/>
        </w:rPr>
        <w:t>(4), 1093.</w:t>
      </w:r>
      <w:r w:rsidRPr="00DA2CCF">
        <w:t xml:space="preserve"> </w:t>
      </w:r>
      <w:r w:rsidRPr="00DA2CCF">
        <w:rPr>
          <w:rFonts w:ascii="Bahnschrift" w:hAnsi="Bahnschrift"/>
        </w:rPr>
        <w:t>https://doi.org/10.3390/su11041093</w:t>
      </w:r>
    </w:p>
    <w:p w14:paraId="0CF3FD7F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EE0000"/>
        </w:rPr>
      </w:pPr>
    </w:p>
    <w:p w14:paraId="0750B64D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A2CCF">
        <w:rPr>
          <w:rFonts w:ascii="Bahnschrift" w:hAnsi="Bahnschrift"/>
        </w:rPr>
        <w:t>Cherepovitsyn</w:t>
      </w:r>
      <w:proofErr w:type="spellEnd"/>
      <w:r w:rsidRPr="00DA2CCF">
        <w:rPr>
          <w:rFonts w:ascii="Bahnschrift" w:hAnsi="Bahnschrift"/>
        </w:rPr>
        <w:t xml:space="preserve">, A., </w:t>
      </w:r>
      <w:proofErr w:type="spellStart"/>
      <w:r w:rsidRPr="00DA2CCF">
        <w:rPr>
          <w:rFonts w:ascii="Bahnschrift" w:hAnsi="Bahnschrift"/>
        </w:rPr>
        <w:t>Kazanin</w:t>
      </w:r>
      <w:proofErr w:type="spellEnd"/>
      <w:r w:rsidRPr="00DA2CCF">
        <w:rPr>
          <w:rFonts w:ascii="Bahnschrift" w:hAnsi="Bahnschrift"/>
        </w:rPr>
        <w:t xml:space="preserve">, A., &amp; Rutenko, E. (2023). Strategic priorities for green diversification of oil and gas companies. </w:t>
      </w:r>
      <w:r w:rsidRPr="00DA2CCF">
        <w:rPr>
          <w:rFonts w:ascii="Bahnschrift" w:hAnsi="Bahnschrift"/>
          <w:i/>
          <w:iCs/>
        </w:rPr>
        <w:t>Energies, 16</w:t>
      </w:r>
      <w:r w:rsidRPr="00DA2CCF">
        <w:rPr>
          <w:rFonts w:ascii="Bahnschrift" w:hAnsi="Bahnschrift"/>
        </w:rPr>
        <w:t>(13), 4985.</w:t>
      </w:r>
      <w:r w:rsidRPr="00DA2CCF">
        <w:t xml:space="preserve"> </w:t>
      </w:r>
      <w:hyperlink r:id="rId8" w:tgtFrame="_new" w:history="1">
        <w:r w:rsidRPr="00DA2CCF">
          <w:rPr>
            <w:rStyle w:val="Hyperlink"/>
            <w:rFonts w:ascii="Bahnschrift" w:hAnsi="Bahnschrift"/>
            <w:color w:val="auto"/>
            <w:u w:val="none"/>
          </w:rPr>
          <w:t>https://doi.org/10.3390/en16134985</w:t>
        </w:r>
      </w:hyperlink>
    </w:p>
    <w:p w14:paraId="3E6E4E30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BA5357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Costa, E. (2023). </w:t>
      </w:r>
      <w:r w:rsidRPr="00DA2CCF">
        <w:rPr>
          <w:rFonts w:ascii="Bahnschrift" w:hAnsi="Bahnschrift"/>
          <w:i/>
          <w:iCs/>
        </w:rPr>
        <w:t>Sustainable Business Models in the Oil &amp; Gas Industry: The Case of Equinor ASA/Author Erica Costa</w:t>
      </w:r>
      <w:r w:rsidRPr="00DA2CCF">
        <w:rPr>
          <w:rFonts w:ascii="Bahnschrift" w:hAnsi="Bahnschrift"/>
        </w:rPr>
        <w:t xml:space="preserve"> [Master Thesis]. Johannes Kepler </w:t>
      </w:r>
      <w:proofErr w:type="spellStart"/>
      <w:r w:rsidRPr="00DA2CCF">
        <w:rPr>
          <w:rFonts w:ascii="Bahnschrift" w:hAnsi="Bahnschrift"/>
        </w:rPr>
        <w:t>Universitat</w:t>
      </w:r>
      <w:proofErr w:type="spellEnd"/>
      <w:r w:rsidRPr="00DA2CCF">
        <w:rPr>
          <w:rFonts w:ascii="Bahnschrift" w:hAnsi="Bahnschrift"/>
        </w:rPr>
        <w:t xml:space="preserve"> Linz. https://epub.jku.at/obvulihs/content/titleinfo/9132031</w:t>
      </w:r>
    </w:p>
    <w:p w14:paraId="0F1C0A86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CC68F5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Dhali, M., Hassan, S., &amp; Subramaniam, U. (2023). Comparative analysis of oil and gas legal frameworks in Bangladesh and Nigeria: A pathway towards achieving sustainable energy through policy. </w:t>
      </w:r>
      <w:r w:rsidRPr="00DA2CCF">
        <w:rPr>
          <w:rFonts w:ascii="Bahnschrift" w:hAnsi="Bahnschrift"/>
          <w:i/>
          <w:iCs/>
        </w:rPr>
        <w:t>Sustainability, 15</w:t>
      </w:r>
      <w:r w:rsidRPr="00DA2CCF">
        <w:rPr>
          <w:rFonts w:ascii="Bahnschrift" w:hAnsi="Bahnschrift"/>
        </w:rPr>
        <w:t>(21), 15228.</w:t>
      </w:r>
      <w:r w:rsidRPr="00DA2CCF">
        <w:t xml:space="preserve"> </w:t>
      </w:r>
      <w:hyperlink r:id="rId9" w:tgtFrame="_new" w:history="1">
        <w:r w:rsidRPr="00DA2CCF">
          <w:rPr>
            <w:rStyle w:val="Hyperlink"/>
            <w:rFonts w:ascii="Bahnschrift" w:hAnsi="Bahnschrift"/>
            <w:color w:val="auto"/>
            <w:u w:val="none"/>
          </w:rPr>
          <w:t>https://doi.org/10.3390/su152115228</w:t>
        </w:r>
      </w:hyperlink>
    </w:p>
    <w:p w14:paraId="59E35445" w14:textId="77777777" w:rsidR="00DA2CCF" w:rsidRPr="00DA2CCF" w:rsidRDefault="00DA2CCF" w:rsidP="00DA2CC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124D009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Dsouza, S., &amp; Krishnamoorthy, K. (2024). Boosting corporate value through ESG excellence in oil and gas sector. </w:t>
      </w:r>
      <w:r w:rsidRPr="00DA2CCF">
        <w:rPr>
          <w:rFonts w:ascii="Bahnschrift" w:hAnsi="Bahnschrift"/>
          <w:i/>
          <w:iCs/>
        </w:rPr>
        <w:t>International Journal of Energy Economics and Policy, 14</w:t>
      </w:r>
      <w:r w:rsidRPr="00DA2CCF">
        <w:rPr>
          <w:rFonts w:ascii="Bahnschrift" w:hAnsi="Bahnschrift"/>
        </w:rPr>
        <w:t>(5), 335-346.</w:t>
      </w:r>
      <w:r w:rsidRPr="00DA2CCF">
        <w:t xml:space="preserve"> </w:t>
      </w:r>
      <w:r w:rsidRPr="00DA2CCF">
        <w:rPr>
          <w:rFonts w:ascii="Bahnschrift" w:hAnsi="Bahnschrift"/>
        </w:rPr>
        <w:t>https://doi.org/10.32479/ijeep.16714</w:t>
      </w:r>
    </w:p>
    <w:p w14:paraId="7C4D8B22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EE0000"/>
        </w:rPr>
      </w:pPr>
    </w:p>
    <w:p w14:paraId="45DF9B74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Esiri, A. E., Babayeju, O. A., &amp; </w:t>
      </w:r>
      <w:proofErr w:type="spellStart"/>
      <w:r w:rsidRPr="00DA2CCF">
        <w:rPr>
          <w:rFonts w:ascii="Bahnschrift" w:hAnsi="Bahnschrift"/>
        </w:rPr>
        <w:t>Ekemezie</w:t>
      </w:r>
      <w:proofErr w:type="spellEnd"/>
      <w:r w:rsidRPr="00DA2CCF">
        <w:rPr>
          <w:rFonts w:ascii="Bahnschrift" w:hAnsi="Bahnschrift"/>
        </w:rPr>
        <w:t xml:space="preserve">, I. O. (2024a). Implementing sustainable practices in oil and gas operations to minimize environmental footprint. </w:t>
      </w:r>
      <w:r w:rsidRPr="00DA2CCF">
        <w:rPr>
          <w:rFonts w:ascii="Bahnschrift" w:hAnsi="Bahnschrift"/>
          <w:i/>
          <w:iCs/>
        </w:rPr>
        <w:t>GSC Advanced Research and Reviews, 19</w:t>
      </w:r>
      <w:r w:rsidRPr="00DA2CCF">
        <w:rPr>
          <w:rFonts w:ascii="Bahnschrift" w:hAnsi="Bahnschrift"/>
        </w:rPr>
        <w:t>(03), 112-121.</w:t>
      </w:r>
      <w:r w:rsidRPr="00DA2CCF">
        <w:t xml:space="preserve"> </w:t>
      </w:r>
      <w:r w:rsidRPr="00DA2CCF">
        <w:rPr>
          <w:rFonts w:ascii="Bahnschrift" w:hAnsi="Bahnschrift"/>
        </w:rPr>
        <w:t>https://doi.org/</w:t>
      </w:r>
      <w:hyperlink r:id="rId10" w:tgtFrame="_blank" w:history="1">
        <w:r w:rsidRPr="00DA2CCF">
          <w:rPr>
            <w:rStyle w:val="Hyperlink"/>
            <w:rFonts w:ascii="Bahnschrift" w:hAnsi="Bahnschrift"/>
            <w:color w:val="auto"/>
            <w:u w:val="none"/>
          </w:rPr>
          <w:t>10.30574/gscarr.2024.19.3.0207</w:t>
        </w:r>
      </w:hyperlink>
    </w:p>
    <w:p w14:paraId="2E5B7926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436FA4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</w:pPr>
      <w:r w:rsidRPr="00DA2CCF">
        <w:rPr>
          <w:rFonts w:ascii="Bahnschrift" w:hAnsi="Bahnschrift"/>
        </w:rPr>
        <w:t xml:space="preserve">Esiri, A. E., </w:t>
      </w:r>
      <w:proofErr w:type="spellStart"/>
      <w:r w:rsidRPr="00DA2CCF">
        <w:rPr>
          <w:rFonts w:ascii="Bahnschrift" w:hAnsi="Bahnschrift"/>
        </w:rPr>
        <w:t>Sofoluwe</w:t>
      </w:r>
      <w:proofErr w:type="spellEnd"/>
      <w:r w:rsidRPr="00DA2CCF">
        <w:rPr>
          <w:rFonts w:ascii="Bahnschrift" w:hAnsi="Bahnschrift"/>
        </w:rPr>
        <w:t xml:space="preserve">, O. O., &amp; </w:t>
      </w:r>
      <w:proofErr w:type="spellStart"/>
      <w:r w:rsidRPr="00DA2CCF">
        <w:rPr>
          <w:rFonts w:ascii="Bahnschrift" w:hAnsi="Bahnschrift"/>
        </w:rPr>
        <w:t>Ukato</w:t>
      </w:r>
      <w:proofErr w:type="spellEnd"/>
      <w:r w:rsidRPr="00DA2CCF">
        <w:rPr>
          <w:rFonts w:ascii="Bahnschrift" w:hAnsi="Bahnschrift"/>
        </w:rPr>
        <w:t xml:space="preserve">, A. (2024b). Aligning oil and gas industry practices with sustainable development goals (SDGs). </w:t>
      </w:r>
      <w:r w:rsidRPr="00DA2CCF">
        <w:rPr>
          <w:rFonts w:ascii="Bahnschrift" w:hAnsi="Bahnschrift"/>
          <w:i/>
          <w:iCs/>
        </w:rPr>
        <w:t>International Journal of Applied Research in Social Sciences, 6</w:t>
      </w:r>
      <w:r w:rsidRPr="00DA2CCF">
        <w:rPr>
          <w:rFonts w:ascii="Bahnschrift" w:hAnsi="Bahnschrift"/>
        </w:rPr>
        <w:t>(6), 1215-1226.</w:t>
      </w:r>
      <w:r w:rsidRPr="00DA2CCF">
        <w:t xml:space="preserve"> </w:t>
      </w:r>
      <w:r w:rsidRPr="00DA2CCF">
        <w:rPr>
          <w:rFonts w:ascii="Bahnschrift" w:hAnsi="Bahnschrift"/>
        </w:rPr>
        <w:t>https://doi.org/</w:t>
      </w:r>
      <w:hyperlink r:id="rId11" w:tgtFrame="_blank" w:history="1">
        <w:r w:rsidRPr="00DA2CCF">
          <w:rPr>
            <w:rStyle w:val="Hyperlink"/>
            <w:rFonts w:ascii="Bahnschrift" w:hAnsi="Bahnschrift"/>
            <w:color w:val="auto"/>
            <w:u w:val="none"/>
          </w:rPr>
          <w:t>10.51594/</w:t>
        </w:r>
        <w:proofErr w:type="gramStart"/>
        <w:r w:rsidRPr="00DA2CCF">
          <w:rPr>
            <w:rStyle w:val="Hyperlink"/>
            <w:rFonts w:ascii="Bahnschrift" w:hAnsi="Bahnschrift"/>
            <w:color w:val="auto"/>
            <w:u w:val="none"/>
          </w:rPr>
          <w:t>ijarss.v</w:t>
        </w:r>
        <w:proofErr w:type="gramEnd"/>
        <w:r w:rsidRPr="00DA2CCF">
          <w:rPr>
            <w:rStyle w:val="Hyperlink"/>
            <w:rFonts w:ascii="Bahnschrift" w:hAnsi="Bahnschrift"/>
            <w:color w:val="auto"/>
            <w:u w:val="none"/>
          </w:rPr>
          <w:t>6i6.1211</w:t>
        </w:r>
      </w:hyperlink>
    </w:p>
    <w:p w14:paraId="641E88F8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lastRenderedPageBreak/>
        <w:t xml:space="preserve">               </w:t>
      </w:r>
    </w:p>
    <w:p w14:paraId="02797A40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5388CC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Freeman, R. E. (1984). </w:t>
      </w:r>
      <w:r w:rsidRPr="00DA2CCF">
        <w:rPr>
          <w:rFonts w:ascii="Bahnschrift" w:hAnsi="Bahnschrift"/>
          <w:i/>
          <w:iCs/>
        </w:rPr>
        <w:t>Strategic management: A stakeholder approach.</w:t>
      </w:r>
      <w:r w:rsidRPr="00DA2CCF">
        <w:rPr>
          <w:rFonts w:ascii="Bahnschrift" w:hAnsi="Bahnschrift"/>
        </w:rPr>
        <w:t xml:space="preserve"> Boston, MA: Pitman.</w:t>
      </w:r>
      <w:r w:rsidRPr="00DA2CCF">
        <w:t xml:space="preserve"> </w:t>
      </w:r>
      <w:hyperlink r:id="rId12" w:history="1">
        <w:r w:rsidRPr="00DA2CCF">
          <w:rPr>
            <w:rStyle w:val="Hyperlink"/>
            <w:rFonts w:ascii="Bahnschrift" w:hAnsi="Bahnschrift"/>
            <w:color w:val="auto"/>
            <w:u w:val="none"/>
          </w:rPr>
          <w:t>https://doi.org/10.1017/CBO9781139192675</w:t>
        </w:r>
      </w:hyperlink>
    </w:p>
    <w:p w14:paraId="64B3BFA5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EE0000"/>
        </w:rPr>
      </w:pPr>
    </w:p>
    <w:p w14:paraId="5ECBFCFD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Gilchrist, D., Yu, J., &amp; Zhong, R. (2021). The limits of green finance: A survey of literature in the context of green bonds and green loans. </w:t>
      </w:r>
      <w:r w:rsidRPr="00DA2CCF">
        <w:rPr>
          <w:rFonts w:ascii="Bahnschrift" w:hAnsi="Bahnschrift"/>
          <w:i/>
          <w:iCs/>
        </w:rPr>
        <w:t>Sustainability, 13</w:t>
      </w:r>
      <w:r w:rsidRPr="00DA2CCF">
        <w:rPr>
          <w:rFonts w:ascii="Bahnschrift" w:hAnsi="Bahnschrift"/>
        </w:rPr>
        <w:t>(2), 478.</w:t>
      </w:r>
      <w:r w:rsidRPr="00DA2CCF">
        <w:t xml:space="preserve"> </w:t>
      </w:r>
      <w:hyperlink r:id="rId13" w:tgtFrame="_new" w:history="1">
        <w:r w:rsidRPr="00DA2CCF">
          <w:rPr>
            <w:rStyle w:val="Hyperlink"/>
            <w:rFonts w:ascii="Bahnschrift" w:hAnsi="Bahnschrift"/>
            <w:color w:val="auto"/>
            <w:u w:val="none"/>
          </w:rPr>
          <w:t>https://doi.org/10.3390/su13020478</w:t>
        </w:r>
      </w:hyperlink>
    </w:p>
    <w:p w14:paraId="52B56195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EE0000"/>
        </w:rPr>
      </w:pPr>
    </w:p>
    <w:p w14:paraId="136D6BA5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Güngör, N., &amp; Şeker, Y. (2022). The relationship between board characteristics and ESG performance: Evidence from the oil, gas and coal sector. </w:t>
      </w:r>
      <w:proofErr w:type="spellStart"/>
      <w:r w:rsidRPr="00DA2CCF">
        <w:rPr>
          <w:rFonts w:ascii="Bahnschrift" w:hAnsi="Bahnschrift"/>
          <w:i/>
          <w:iCs/>
        </w:rPr>
        <w:t>Stratejik</w:t>
      </w:r>
      <w:proofErr w:type="spellEnd"/>
      <w:r w:rsidRPr="00DA2CCF">
        <w:rPr>
          <w:rFonts w:ascii="Bahnschrift" w:hAnsi="Bahnschrift"/>
          <w:i/>
          <w:iCs/>
        </w:rPr>
        <w:t xml:space="preserve"> </w:t>
      </w:r>
      <w:proofErr w:type="spellStart"/>
      <w:r w:rsidRPr="00DA2CCF">
        <w:rPr>
          <w:rFonts w:ascii="Bahnschrift" w:hAnsi="Bahnschrift"/>
          <w:i/>
          <w:iCs/>
        </w:rPr>
        <w:t>ve</w:t>
      </w:r>
      <w:proofErr w:type="spellEnd"/>
      <w:r w:rsidRPr="00DA2CCF">
        <w:rPr>
          <w:rFonts w:ascii="Bahnschrift" w:hAnsi="Bahnschrift"/>
          <w:i/>
          <w:iCs/>
        </w:rPr>
        <w:t xml:space="preserve"> </w:t>
      </w:r>
      <w:proofErr w:type="spellStart"/>
      <w:r w:rsidRPr="00DA2CCF">
        <w:rPr>
          <w:rFonts w:ascii="Bahnschrift" w:hAnsi="Bahnschrift"/>
          <w:i/>
          <w:iCs/>
        </w:rPr>
        <w:t>Sosyal</w:t>
      </w:r>
      <w:proofErr w:type="spellEnd"/>
      <w:r w:rsidRPr="00DA2CCF">
        <w:rPr>
          <w:rFonts w:ascii="Bahnschrift" w:hAnsi="Bahnschrift"/>
          <w:i/>
          <w:iCs/>
        </w:rPr>
        <w:t xml:space="preserve"> </w:t>
      </w:r>
      <w:proofErr w:type="spellStart"/>
      <w:r w:rsidRPr="00DA2CCF">
        <w:rPr>
          <w:rFonts w:ascii="Bahnschrift" w:hAnsi="Bahnschrift"/>
          <w:i/>
          <w:iCs/>
        </w:rPr>
        <w:t>Araştırmalar</w:t>
      </w:r>
      <w:proofErr w:type="spellEnd"/>
      <w:r w:rsidRPr="00DA2CCF">
        <w:rPr>
          <w:rFonts w:ascii="Bahnschrift" w:hAnsi="Bahnschrift"/>
          <w:i/>
          <w:iCs/>
        </w:rPr>
        <w:t xml:space="preserve"> </w:t>
      </w:r>
      <w:proofErr w:type="spellStart"/>
      <w:r w:rsidRPr="00DA2CCF">
        <w:rPr>
          <w:rFonts w:ascii="Bahnschrift" w:hAnsi="Bahnschrift"/>
          <w:i/>
          <w:iCs/>
        </w:rPr>
        <w:t>Dergisi</w:t>
      </w:r>
      <w:proofErr w:type="spellEnd"/>
      <w:r w:rsidRPr="00DA2CCF">
        <w:rPr>
          <w:rFonts w:ascii="Bahnschrift" w:hAnsi="Bahnschrift"/>
          <w:i/>
          <w:iCs/>
        </w:rPr>
        <w:t>, 6</w:t>
      </w:r>
      <w:r w:rsidRPr="00DA2CCF">
        <w:rPr>
          <w:rFonts w:ascii="Bahnschrift" w:hAnsi="Bahnschrift"/>
        </w:rPr>
        <w:t>(1), 17-37.</w:t>
      </w:r>
      <w:r w:rsidRPr="00DA2CCF">
        <w:t xml:space="preserve"> </w:t>
      </w:r>
      <w:r w:rsidRPr="00DA2CCF">
        <w:rPr>
          <w:rFonts w:ascii="Bahnschrift" w:hAnsi="Bahnschrift"/>
        </w:rPr>
        <w:t>https://doi.org/10.29228/sam.59492</w:t>
      </w:r>
    </w:p>
    <w:p w14:paraId="67C75C99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385A9B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Gutman, S. S., Egorova, M. M., Ibragimov, B. B., </w:t>
      </w:r>
      <w:proofErr w:type="spellStart"/>
      <w:r w:rsidRPr="00DA2CCF">
        <w:rPr>
          <w:rFonts w:ascii="Bahnschrift" w:hAnsi="Bahnschrift"/>
        </w:rPr>
        <w:t>Nosirova</w:t>
      </w:r>
      <w:proofErr w:type="spellEnd"/>
      <w:r w:rsidRPr="00DA2CCF">
        <w:rPr>
          <w:rFonts w:ascii="Bahnschrift" w:hAnsi="Bahnschrift"/>
        </w:rPr>
        <w:t xml:space="preserve">, S. S., &amp; </w:t>
      </w:r>
      <w:proofErr w:type="spellStart"/>
      <w:r w:rsidRPr="00DA2CCF">
        <w:rPr>
          <w:rFonts w:ascii="Bahnschrift" w:hAnsi="Bahnschrift"/>
        </w:rPr>
        <w:t>Seytenova</w:t>
      </w:r>
      <w:proofErr w:type="spellEnd"/>
      <w:r w:rsidRPr="00DA2CCF">
        <w:rPr>
          <w:rFonts w:ascii="Bahnschrift" w:hAnsi="Bahnschrift"/>
        </w:rPr>
        <w:t xml:space="preserve">, V. (2024). The Relationship Between ESG Metrics and Financial Performance of an Enterprise in the Oil and Gas Sector. E3S </w:t>
      </w:r>
      <w:r w:rsidRPr="00DA2CCF">
        <w:rPr>
          <w:rFonts w:ascii="Bahnschrift" w:hAnsi="Bahnschrift"/>
          <w:i/>
          <w:iCs/>
        </w:rPr>
        <w:t>Web of Conferences, 574,</w:t>
      </w:r>
      <w:r w:rsidRPr="00DA2CCF">
        <w:rPr>
          <w:rFonts w:ascii="Bahnschrift" w:hAnsi="Bahnschrift"/>
        </w:rPr>
        <w:t xml:space="preserve"> 03004. </w:t>
      </w:r>
      <w:hyperlink r:id="rId14" w:tgtFrame="_blank" w:history="1">
        <w:r w:rsidRPr="00DA2CCF">
          <w:rPr>
            <w:rStyle w:val="Hyperlink"/>
            <w:rFonts w:ascii="Bahnschrift" w:hAnsi="Bahnschrift" w:cs="Times New Roman"/>
            <w:color w:val="auto"/>
            <w:u w:val="none"/>
          </w:rPr>
          <w:t>http://dx.doi.org/10.2139/ssrn.5086920</w:t>
        </w:r>
      </w:hyperlink>
    </w:p>
    <w:p w14:paraId="5AE940D0" w14:textId="77777777" w:rsidR="005128D0" w:rsidRDefault="005128D0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F8E445" w14:textId="6E7D606E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A2CCF">
        <w:rPr>
          <w:rFonts w:ascii="Bahnschrift" w:hAnsi="Bahnschrift"/>
        </w:rPr>
        <w:t>Jerab</w:t>
      </w:r>
      <w:proofErr w:type="spellEnd"/>
      <w:r w:rsidRPr="00DA2CCF">
        <w:rPr>
          <w:rFonts w:ascii="Bahnschrift" w:hAnsi="Bahnschrift"/>
        </w:rPr>
        <w:t xml:space="preserve">, D. (2025). </w:t>
      </w:r>
      <w:r w:rsidRPr="00DA2CCF">
        <w:rPr>
          <w:rFonts w:ascii="Bahnschrift" w:hAnsi="Bahnschrift"/>
          <w:i/>
          <w:iCs/>
        </w:rPr>
        <w:t>Balancing Profitability and Sustainability in Business</w:t>
      </w:r>
      <w:r w:rsidRPr="00DA2CCF">
        <w:rPr>
          <w:rFonts w:ascii="Bahnschrift" w:hAnsi="Bahnschrift"/>
        </w:rPr>
        <w:t xml:space="preserve">. Available at SSRN 5086920. </w:t>
      </w:r>
      <w:hyperlink r:id="rId15" w:history="1">
        <w:r w:rsidRPr="00DA2CCF">
          <w:rPr>
            <w:rStyle w:val="Hyperlink"/>
            <w:rFonts w:ascii="Bahnschrift" w:hAnsi="Bahnschrift" w:cs="Times New Roman"/>
            <w:color w:val="auto"/>
            <w:u w:val="none"/>
          </w:rPr>
          <w:t>http://dx.doi.org/10.2139/ssrn.5086920</w:t>
        </w:r>
      </w:hyperlink>
    </w:p>
    <w:p w14:paraId="5959FD7C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5E76C1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Le, L. T. (2024). Impact of environmental, social and governance practices on financial performance: evidence from listed companies in Southeast Asia. </w:t>
      </w:r>
      <w:r w:rsidRPr="00DA2CCF">
        <w:rPr>
          <w:rFonts w:ascii="Bahnschrift" w:hAnsi="Bahnschrift"/>
          <w:i/>
          <w:iCs/>
        </w:rPr>
        <w:t>Cogent Business &amp; Management, 11</w:t>
      </w:r>
      <w:r w:rsidRPr="00DA2CCF">
        <w:rPr>
          <w:rFonts w:ascii="Bahnschrift" w:hAnsi="Bahnschrift"/>
        </w:rPr>
        <w:t>(1), 2379568.</w:t>
      </w:r>
      <w:r w:rsidRPr="00DA2CCF">
        <w:t xml:space="preserve"> </w:t>
      </w:r>
      <w:r w:rsidRPr="00DA2CCF">
        <w:rPr>
          <w:rFonts w:ascii="Bahnschrift" w:hAnsi="Bahnschrift"/>
        </w:rPr>
        <w:t>https://doi.org/10.1080/23311975.2024.2379568</w:t>
      </w:r>
    </w:p>
    <w:p w14:paraId="7EFEBBDA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D799036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A2CCF">
        <w:rPr>
          <w:rFonts w:ascii="Bahnschrift" w:hAnsi="Bahnschrift"/>
        </w:rPr>
        <w:t>Markovskaya</w:t>
      </w:r>
      <w:proofErr w:type="spellEnd"/>
      <w:r w:rsidRPr="00DA2CCF">
        <w:rPr>
          <w:rFonts w:ascii="Bahnschrift" w:hAnsi="Bahnschrift"/>
        </w:rPr>
        <w:t xml:space="preserve">, E., Nikolaishvili, N., &amp; </w:t>
      </w:r>
      <w:proofErr w:type="spellStart"/>
      <w:r w:rsidRPr="00DA2CCF">
        <w:rPr>
          <w:rFonts w:ascii="Bahnschrift" w:hAnsi="Bahnschrift"/>
        </w:rPr>
        <w:t>Kashperyuk</w:t>
      </w:r>
      <w:proofErr w:type="spellEnd"/>
      <w:r w:rsidRPr="00DA2CCF">
        <w:rPr>
          <w:rFonts w:ascii="Bahnschrift" w:hAnsi="Bahnschrift"/>
        </w:rPr>
        <w:t xml:space="preserve">, P. (2021). The impact of oil companies’ sustainability on environmental safety. </w:t>
      </w:r>
      <w:r w:rsidRPr="00DA2CCF">
        <w:rPr>
          <w:rFonts w:ascii="Bahnschrift" w:hAnsi="Bahnschrift"/>
          <w:i/>
          <w:iCs/>
        </w:rPr>
        <w:t>In IOP Conference Series:</w:t>
      </w:r>
      <w:r w:rsidRPr="00DA2CCF">
        <w:rPr>
          <w:rFonts w:ascii="Bahnschrift" w:hAnsi="Bahnschrift"/>
        </w:rPr>
        <w:t xml:space="preserve"> </w:t>
      </w:r>
      <w:r w:rsidRPr="00DA2CCF">
        <w:rPr>
          <w:rFonts w:ascii="Bahnschrift" w:hAnsi="Bahnschrift"/>
          <w:i/>
          <w:iCs/>
        </w:rPr>
        <w:t>Earth and Environmental Science</w:t>
      </w:r>
      <w:r w:rsidRPr="00DA2CCF">
        <w:rPr>
          <w:rFonts w:ascii="Bahnschrift" w:hAnsi="Bahnschrift"/>
        </w:rPr>
        <w:t xml:space="preserve">, </w:t>
      </w:r>
      <w:r w:rsidRPr="00DA2CCF">
        <w:rPr>
          <w:rFonts w:ascii="Bahnschrift" w:hAnsi="Bahnschrift"/>
          <w:i/>
          <w:iCs/>
        </w:rPr>
        <w:t>937</w:t>
      </w:r>
      <w:r w:rsidRPr="00DA2CCF">
        <w:rPr>
          <w:rFonts w:ascii="Bahnschrift" w:hAnsi="Bahnschrift"/>
        </w:rPr>
        <w:t>(2), Art. 022079. https://doi.org/10.1088/1755-1315/937/2/022079</w:t>
      </w:r>
    </w:p>
    <w:p w14:paraId="0B9E1E65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EE0000"/>
        </w:rPr>
      </w:pPr>
    </w:p>
    <w:p w14:paraId="4C00B3B3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Naeem, N., &amp; Çankaya, S. (2022). The impact of ESG performance over financial performance: A study on global energy and power generation companies. </w:t>
      </w:r>
      <w:r w:rsidRPr="00DA2CCF">
        <w:rPr>
          <w:rFonts w:ascii="Bahnschrift" w:hAnsi="Bahnschrift"/>
          <w:i/>
          <w:iCs/>
        </w:rPr>
        <w:t>International Journal of Commerce and Finance, 8</w:t>
      </w:r>
      <w:r w:rsidRPr="00DA2CCF">
        <w:rPr>
          <w:rFonts w:ascii="Bahnschrift" w:hAnsi="Bahnschrift"/>
        </w:rPr>
        <w:t>(1), 1-25.</w:t>
      </w:r>
      <w:r w:rsidRPr="00DA2CCF">
        <w:t xml:space="preserve"> </w:t>
      </w:r>
      <w:r w:rsidRPr="00DA2CCF">
        <w:rPr>
          <w:rFonts w:ascii="Bahnschrift" w:hAnsi="Bahnschrift"/>
        </w:rPr>
        <w:t>https://doi.org/10.1016/j.bir.2022.11.014</w:t>
      </w:r>
    </w:p>
    <w:p w14:paraId="51FABDE8" w14:textId="77777777" w:rsidR="00DA2CCF" w:rsidRPr="00DA2CCF" w:rsidRDefault="00DA2CCF" w:rsidP="00DA2CCF">
      <w:pPr>
        <w:suppressLineNumbers/>
        <w:spacing w:after="0" w:line="240" w:lineRule="auto"/>
        <w:jc w:val="both"/>
        <w:rPr>
          <w:rFonts w:ascii="Bahnschrift" w:hAnsi="Bahnschrift"/>
          <w:color w:val="EE0000"/>
        </w:rPr>
      </w:pPr>
    </w:p>
    <w:p w14:paraId="1B544BFE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Olawale, A. &amp; Obinna, E. (2023). Corporate Governance, Institutional Quality, and Firm Performance: A Comprehensive Analysis of the Oil &amp; Gas Sector. </w:t>
      </w:r>
      <w:r w:rsidRPr="00DA2CCF">
        <w:rPr>
          <w:rFonts w:ascii="Bahnschrift" w:hAnsi="Bahnschrift"/>
          <w:i/>
          <w:iCs/>
        </w:rPr>
        <w:t>Journal of Finance and Economics, 11</w:t>
      </w:r>
      <w:r w:rsidRPr="00DA2CCF">
        <w:rPr>
          <w:rFonts w:ascii="Bahnschrift" w:hAnsi="Bahnschrift"/>
        </w:rPr>
        <w:t>(3), 160-170.</w:t>
      </w:r>
    </w:p>
    <w:p w14:paraId="0BF41988" w14:textId="77777777" w:rsidR="00DA2CCF" w:rsidRPr="00DA2CCF" w:rsidRDefault="00DA2CCF" w:rsidP="00DA2CCF">
      <w:pPr>
        <w:suppressLineNumbers/>
        <w:spacing w:after="0" w:line="240" w:lineRule="auto"/>
        <w:ind w:left="709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>https://doi.org/</w:t>
      </w:r>
      <w:hyperlink r:id="rId16" w:tgtFrame="_blank" w:history="1">
        <w:r w:rsidRPr="00DA2CCF">
          <w:rPr>
            <w:rStyle w:val="Hyperlink"/>
            <w:rFonts w:ascii="Bahnschrift" w:hAnsi="Bahnschrift"/>
            <w:color w:val="auto"/>
            <w:u w:val="none"/>
          </w:rPr>
          <w:t>10.12691/jfe-11-3-4</w:t>
        </w:r>
      </w:hyperlink>
    </w:p>
    <w:p w14:paraId="2E842A1C" w14:textId="77777777" w:rsidR="00DA2CCF" w:rsidRPr="00DA2CCF" w:rsidRDefault="00DA2CCF" w:rsidP="00DA2CCF">
      <w:pPr>
        <w:suppressLineNumbers/>
        <w:spacing w:after="0" w:line="240" w:lineRule="auto"/>
        <w:jc w:val="both"/>
        <w:rPr>
          <w:rFonts w:ascii="Bahnschrift" w:hAnsi="Bahnschrift"/>
          <w:color w:val="EE0000"/>
        </w:rPr>
      </w:pPr>
    </w:p>
    <w:p w14:paraId="1F503463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Raneses, A. (2020). </w:t>
      </w:r>
      <w:r w:rsidRPr="00DA2CCF">
        <w:rPr>
          <w:rFonts w:ascii="Bahnschrift" w:hAnsi="Bahnschrift"/>
          <w:i/>
          <w:iCs/>
        </w:rPr>
        <w:t>Beyond firms doing good: the impact of environmental, social, and governance factors (ESG) on the financial performance of Philippine companies.</w:t>
      </w:r>
      <w:r w:rsidRPr="00DA2CCF">
        <w:rPr>
          <w:rFonts w:ascii="Bahnschrift" w:hAnsi="Bahnschrift"/>
        </w:rPr>
        <w:t xml:space="preserve"> Harvard University.</w:t>
      </w:r>
      <w:r w:rsidRPr="00DA2CCF">
        <w:t xml:space="preserve"> </w:t>
      </w:r>
      <w:r w:rsidRPr="00DA2CCF">
        <w:rPr>
          <w:rFonts w:ascii="Bahnschrift" w:hAnsi="Bahnschrift"/>
        </w:rPr>
        <w:t>https://doi.org/10.2139/ssrn.3957124</w:t>
      </w:r>
    </w:p>
    <w:p w14:paraId="62F686FD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EE0000"/>
        </w:rPr>
      </w:pPr>
    </w:p>
    <w:p w14:paraId="26A58DA0" w14:textId="77777777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Rojo-Suárez, J., Alonso-Conde, A. B., &amp; Gonzalez-Ruiz, J. D. (2024). Does sustainability improve financial performance? An analysis of Latin American oil and gas firms. </w:t>
      </w:r>
      <w:r w:rsidRPr="00DA2CCF">
        <w:rPr>
          <w:rFonts w:ascii="Bahnschrift" w:hAnsi="Bahnschrift"/>
          <w:i/>
          <w:iCs/>
        </w:rPr>
        <w:t>Resources Policy, 88,</w:t>
      </w:r>
      <w:r w:rsidRPr="00DA2CCF">
        <w:rPr>
          <w:rFonts w:ascii="Bahnschrift" w:hAnsi="Bahnschrift"/>
        </w:rPr>
        <w:t xml:space="preserve"> 104484.</w:t>
      </w:r>
      <w:r w:rsidRPr="00DA2CCF">
        <w:t xml:space="preserve"> </w:t>
      </w:r>
      <w:hyperlink r:id="rId17" w:history="1">
        <w:r w:rsidRPr="00DA2CCF">
          <w:rPr>
            <w:rStyle w:val="Hyperlink"/>
            <w:rFonts w:ascii="Bahnschrift" w:hAnsi="Bahnschrift"/>
            <w:color w:val="auto"/>
            <w:u w:val="none"/>
          </w:rPr>
          <w:t>https://doi.org/10.1016/j.resourpol.2023.104484</w:t>
        </w:r>
      </w:hyperlink>
    </w:p>
    <w:p w14:paraId="6889187D" w14:textId="77777777" w:rsidR="005128D0" w:rsidRDefault="005128D0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36F450" w14:textId="6EAFC799" w:rsidR="00DA2CCF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Okoye, L.U., </w:t>
      </w:r>
      <w:proofErr w:type="spellStart"/>
      <w:r w:rsidRPr="00DA2CCF">
        <w:rPr>
          <w:rFonts w:ascii="Bahnschrift" w:hAnsi="Bahnschrift"/>
        </w:rPr>
        <w:t>Omankhanlen</w:t>
      </w:r>
      <w:proofErr w:type="spellEnd"/>
      <w:r w:rsidRPr="00DA2CCF">
        <w:rPr>
          <w:rFonts w:ascii="Bahnschrift" w:hAnsi="Bahnschrift"/>
        </w:rPr>
        <w:t xml:space="preserve">, A.E., Okoh, J.I., Adeleye, N.B., Ezeji, F.N., </w:t>
      </w:r>
      <w:proofErr w:type="spellStart"/>
      <w:r w:rsidRPr="00DA2CCF">
        <w:rPr>
          <w:rFonts w:ascii="Bahnschrift" w:hAnsi="Bahnschrift"/>
        </w:rPr>
        <w:t>Ezu</w:t>
      </w:r>
      <w:proofErr w:type="spellEnd"/>
      <w:r w:rsidRPr="00DA2CCF">
        <w:rPr>
          <w:rFonts w:ascii="Bahnschrift" w:hAnsi="Bahnschrift"/>
        </w:rPr>
        <w:t xml:space="preserve">, G.K., &amp;   </w:t>
      </w:r>
      <w:proofErr w:type="spellStart"/>
      <w:r w:rsidRPr="00DA2CCF">
        <w:rPr>
          <w:rFonts w:ascii="Bahnschrift" w:hAnsi="Bahnschrift"/>
        </w:rPr>
        <w:t>Ehikioya</w:t>
      </w:r>
      <w:proofErr w:type="spellEnd"/>
      <w:r w:rsidRPr="00DA2CCF">
        <w:rPr>
          <w:rFonts w:ascii="Bahnschrift" w:hAnsi="Bahnschrift"/>
        </w:rPr>
        <w:t xml:space="preserve">, B.I. (2021). Analyzing the Energy Consumption and Economic Growth Nexus in Nigeria. </w:t>
      </w:r>
      <w:r w:rsidRPr="00DA2CCF">
        <w:rPr>
          <w:rFonts w:ascii="Bahnschrift" w:hAnsi="Bahnschrift"/>
          <w:i/>
          <w:iCs/>
        </w:rPr>
        <w:lastRenderedPageBreak/>
        <w:t>International Journal of Energy Economics and Policy, 11</w:t>
      </w:r>
      <w:r w:rsidRPr="00DA2CCF">
        <w:rPr>
          <w:rFonts w:ascii="Bahnschrift" w:hAnsi="Bahnschrift"/>
        </w:rPr>
        <w:t>(1), 378-387. https://doi.org/</w:t>
      </w:r>
      <w:hyperlink r:id="rId18" w:tgtFrame="_blank" w:history="1">
        <w:r w:rsidRPr="00DA2CCF">
          <w:rPr>
            <w:rStyle w:val="Hyperlink"/>
            <w:rFonts w:ascii="Bahnschrift" w:hAnsi="Bahnschrift"/>
            <w:color w:val="auto"/>
            <w:u w:val="none"/>
          </w:rPr>
          <w:t>10.32479/ijeep.10768</w:t>
        </w:r>
      </w:hyperlink>
    </w:p>
    <w:p w14:paraId="2F477BF4" w14:textId="77777777" w:rsidR="00DA2CCF" w:rsidRPr="00DA2CCF" w:rsidRDefault="00DA2CCF" w:rsidP="00DA2CC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46AFFC7" w14:textId="77777777" w:rsidR="00DA2CCF" w:rsidRPr="00DA2CCF" w:rsidRDefault="00DA2CCF" w:rsidP="00DA2CC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lang w:val="en-US"/>
        </w:rPr>
      </w:pPr>
      <w:r w:rsidRPr="00DA2CCF">
        <w:rPr>
          <w:rFonts w:ascii="Bahnschrift" w:hAnsi="Bahnschrift"/>
          <w:lang w:val="de-DE"/>
        </w:rPr>
        <w:t xml:space="preserve">Umoren, A. O., &amp; Ukpong, E. G. (2022). </w:t>
      </w:r>
      <w:r w:rsidRPr="00DA2CCF">
        <w:rPr>
          <w:rFonts w:ascii="Bahnschrift" w:hAnsi="Bahnschrift"/>
        </w:rPr>
        <w:t xml:space="preserve">Value relevance of sustainability reporting: Evidence from listed oil and gas firms in Nigeria. </w:t>
      </w:r>
      <w:r w:rsidRPr="00DA2CCF">
        <w:rPr>
          <w:rFonts w:ascii="Bahnschrift" w:hAnsi="Bahnschrift"/>
          <w:i/>
          <w:iCs/>
        </w:rPr>
        <w:t>AKSU Journal of Administration and Corporate Governance, 2</w:t>
      </w:r>
      <w:r w:rsidRPr="00DA2CCF">
        <w:rPr>
          <w:rFonts w:ascii="Bahnschrift" w:hAnsi="Bahnschrift"/>
        </w:rPr>
        <w:t xml:space="preserve">(1), 8–22. </w:t>
      </w:r>
      <w:r w:rsidRPr="00DA2CCF">
        <w:rPr>
          <w:rFonts w:ascii="Bahnschrift" w:hAnsi="Bahnschrift"/>
          <w:lang w:val="en-US"/>
        </w:rPr>
        <w:t>https://doi.org</w:t>
      </w:r>
      <w:hyperlink r:id="rId19" w:history="1">
        <w:r w:rsidRPr="00DA2CCF">
          <w:rPr>
            <w:rStyle w:val="Hyperlink"/>
            <w:rFonts w:ascii="Bahnschrift" w:hAnsi="Bahnschrift"/>
            <w:color w:val="auto"/>
            <w:u w:val="none"/>
            <w:lang w:val="en-US"/>
          </w:rPr>
          <w:t>10.61090/aksujacog.2023.102</w:t>
        </w:r>
      </w:hyperlink>
      <w:r w:rsidRPr="00DA2CCF">
        <w:rPr>
          <w:rFonts w:ascii="Bahnschrift" w:hAnsi="Bahnschrift"/>
          <w:lang w:val="en-US"/>
        </w:rPr>
        <w:t xml:space="preserve"> </w:t>
      </w:r>
    </w:p>
    <w:p w14:paraId="77E361B6" w14:textId="77777777" w:rsidR="00DA2CCF" w:rsidRPr="00DA2CCF" w:rsidRDefault="00DA2CCF" w:rsidP="00DA2CC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00607E5" w14:textId="407C5089" w:rsidR="00BE2113" w:rsidRPr="00DA2CCF" w:rsidRDefault="00DA2CCF" w:rsidP="00DA2CC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A2CCF">
        <w:rPr>
          <w:rFonts w:ascii="Bahnschrift" w:hAnsi="Bahnschrift"/>
        </w:rPr>
        <w:t xml:space="preserve">Yucel, M., &amp; Yucel, S. (2024). Environmental, Social, and Governance (ESG) Dynamics in the Energy Sector: </w:t>
      </w:r>
      <w:r w:rsidRPr="00DA2CCF">
        <w:rPr>
          <w:rFonts w:ascii="Bahnschrift" w:hAnsi="Bahnschrift"/>
          <w:i/>
          <w:iCs/>
        </w:rPr>
        <w:t>Strategic Approaches for Sustainable Development. Energies, 17</w:t>
      </w:r>
      <w:r w:rsidRPr="00DA2CCF">
        <w:rPr>
          <w:rFonts w:ascii="Bahnschrift" w:hAnsi="Bahnschrift"/>
        </w:rPr>
        <w:t>(24), 6291.</w:t>
      </w:r>
      <w:r w:rsidRPr="00DA2CCF">
        <w:t xml:space="preserve"> </w:t>
      </w:r>
      <w:r w:rsidRPr="00DA2CCF">
        <w:rPr>
          <w:rFonts w:ascii="Bahnschrift" w:hAnsi="Bahnschrift"/>
        </w:rPr>
        <w:t>https://doi.org/10.3390/en17246291</w:t>
      </w:r>
    </w:p>
    <w:sectPr w:rsidR="00BE2113" w:rsidRPr="00DA2CCF" w:rsidSect="00AE2C6C">
      <w:headerReference w:type="default" r:id="rId2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B91DB" w14:textId="77777777" w:rsidR="00F85F14" w:rsidRDefault="00F85F14" w:rsidP="00290EE2">
      <w:pPr>
        <w:spacing w:after="0" w:line="240" w:lineRule="auto"/>
      </w:pPr>
      <w:r>
        <w:separator/>
      </w:r>
    </w:p>
  </w:endnote>
  <w:endnote w:type="continuationSeparator" w:id="0">
    <w:p w14:paraId="4A6E3D34" w14:textId="77777777" w:rsidR="00F85F14" w:rsidRDefault="00F85F1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20E44" w14:textId="77777777" w:rsidR="00F85F14" w:rsidRDefault="00F85F14" w:rsidP="00290EE2">
      <w:pPr>
        <w:spacing w:after="0" w:line="240" w:lineRule="auto"/>
      </w:pPr>
      <w:r>
        <w:separator/>
      </w:r>
    </w:p>
  </w:footnote>
  <w:footnote w:type="continuationSeparator" w:id="0">
    <w:p w14:paraId="71D3B1E1" w14:textId="77777777" w:rsidR="00F85F14" w:rsidRDefault="00F85F1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76D8F"/>
    <w:rsid w:val="00290EE2"/>
    <w:rsid w:val="00330D2C"/>
    <w:rsid w:val="00370561"/>
    <w:rsid w:val="003970FD"/>
    <w:rsid w:val="003F04E4"/>
    <w:rsid w:val="00451A1D"/>
    <w:rsid w:val="005128D0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55F49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4676A"/>
    <w:rsid w:val="00D40F41"/>
    <w:rsid w:val="00D56D5A"/>
    <w:rsid w:val="00DA2CCF"/>
    <w:rsid w:val="00DC7E96"/>
    <w:rsid w:val="00E02438"/>
    <w:rsid w:val="00E5333A"/>
    <w:rsid w:val="00E84A47"/>
    <w:rsid w:val="00EA227F"/>
    <w:rsid w:val="00EC4E5D"/>
    <w:rsid w:val="00F85F14"/>
    <w:rsid w:val="00FA16B0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90/en16134985" TargetMode="External"/><Relationship Id="rId13" Type="http://schemas.openxmlformats.org/officeDocument/2006/relationships/hyperlink" Target="https://doi.org/10.3390/su13020478" TargetMode="External"/><Relationship Id="rId18" Type="http://schemas.openxmlformats.org/officeDocument/2006/relationships/hyperlink" Target="https://dx.doi.org/10.32479/ijeep.10768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doi.org/10.1177/014920639101700108" TargetMode="External"/><Relationship Id="rId12" Type="http://schemas.openxmlformats.org/officeDocument/2006/relationships/hyperlink" Target="https://doi.org/10.1017/CBO9781139192675" TargetMode="External"/><Relationship Id="rId17" Type="http://schemas.openxmlformats.org/officeDocument/2006/relationships/hyperlink" Target="https://doi.org/10.1016/j.resourpol.2023.104484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2691/jfe-11-3-4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51594/ijarss.v6i6.121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dx.doi.org/10.2139/ssrn.5086920" TargetMode="External"/><Relationship Id="rId10" Type="http://schemas.openxmlformats.org/officeDocument/2006/relationships/hyperlink" Target="https://doi.org/10.30574/gscarr.2024.19.3.0207" TargetMode="External"/><Relationship Id="rId19" Type="http://schemas.openxmlformats.org/officeDocument/2006/relationships/hyperlink" Target="https://doi.org/10.61090/aksujacog.2023.1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3390/su152115228" TargetMode="External"/><Relationship Id="rId14" Type="http://schemas.openxmlformats.org/officeDocument/2006/relationships/hyperlink" Target="https://dx.doi.org/10.2139/ssrn.5086920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1007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23</cp:revision>
  <cp:lastPrinted>2026-02-21T05:03:00Z</cp:lastPrinted>
  <dcterms:created xsi:type="dcterms:W3CDTF">2025-12-03T11:08:00Z</dcterms:created>
  <dcterms:modified xsi:type="dcterms:W3CDTF">2026-03-03T03:11:00Z</dcterms:modified>
</cp:coreProperties>
</file>