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8F3DE" w14:textId="77777777" w:rsidR="005B5DD9" w:rsidRPr="005B5DD9" w:rsidRDefault="005B5DD9" w:rsidP="005B5DD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5B5DD9">
        <w:rPr>
          <w:rFonts w:ascii="Book Antiqua" w:eastAsia="Times New Roman" w:hAnsi="Book Antiqua" w:cs="Times New Roman"/>
          <w:b/>
          <w:bCs/>
          <w:kern w:val="0"/>
          <w:sz w:val="24"/>
          <w:szCs w:val="24"/>
          <w:lang w:eastAsia="en-PH"/>
          <w14:ligatures w14:val="none"/>
        </w:rPr>
        <w:t>APA (7th edition)</w:t>
      </w:r>
    </w:p>
    <w:p w14:paraId="482039BB" w14:textId="1B6CC1FD" w:rsidR="005B5DD9" w:rsidRPr="005B5DD9" w:rsidRDefault="005B5DD9" w:rsidP="005B5DD9">
      <w:pPr>
        <w:spacing w:before="100" w:beforeAutospacing="1" w:after="100" w:afterAutospacing="1" w:line="240" w:lineRule="auto"/>
        <w:ind w:left="720" w:hanging="720"/>
        <w:jc w:val="both"/>
        <w:rPr>
          <w:rFonts w:ascii="Book Antiqua" w:eastAsia="Times New Roman" w:hAnsi="Book Antiqua" w:cs="Times New Roman"/>
          <w:kern w:val="0"/>
          <w:sz w:val="24"/>
          <w:szCs w:val="24"/>
          <w:lang w:eastAsia="en-PH"/>
          <w14:ligatures w14:val="none"/>
        </w:rPr>
      </w:pPr>
      <w:r w:rsidRPr="005B5DD9">
        <w:rPr>
          <w:rFonts w:ascii="Book Antiqua" w:eastAsia="Times New Roman" w:hAnsi="Book Antiqua" w:cs="Times New Roman"/>
          <w:kern w:val="0"/>
          <w:sz w:val="24"/>
          <w:szCs w:val="24"/>
          <w:lang w:eastAsia="en-PH"/>
          <w14:ligatures w14:val="none"/>
        </w:rPr>
        <w:t xml:space="preserve">Dalipe, M. A. R., Geromo, K. J. R., Villamor, M. T., Lumbao, G. M., Sampag, M. V., &amp; Galicia, R. G. (2026). Motivational factors of tourist in visiting agritourism sites in Virac, Catanduanes: Basis in the development of educational resource material. </w:t>
      </w:r>
      <w:r w:rsidRPr="005B5DD9">
        <w:rPr>
          <w:rFonts w:ascii="Book Antiqua" w:eastAsia="Times New Roman" w:hAnsi="Book Antiqua" w:cs="Times New Roman"/>
          <w:i/>
          <w:iCs/>
          <w:kern w:val="0"/>
          <w:sz w:val="24"/>
          <w:szCs w:val="24"/>
          <w:lang w:eastAsia="en-PH"/>
          <w14:ligatures w14:val="none"/>
        </w:rPr>
        <w:t>Business Fora: Business and Allied Industries International Journal, 7</w:t>
      </w:r>
      <w:r w:rsidRPr="005B5DD9">
        <w:rPr>
          <w:rFonts w:ascii="Book Antiqua" w:eastAsia="Times New Roman" w:hAnsi="Book Antiqua" w:cs="Times New Roman"/>
          <w:kern w:val="0"/>
          <w:sz w:val="24"/>
          <w:szCs w:val="24"/>
          <w:lang w:eastAsia="en-PH"/>
          <w14:ligatures w14:val="none"/>
        </w:rPr>
        <w:t xml:space="preserve">(1), 98–110. </w:t>
      </w:r>
      <w:r w:rsidRPr="005B5DD9">
        <w:rPr>
          <w:rFonts w:ascii="Book Antiqua" w:eastAsia="Times New Roman" w:hAnsi="Book Antiqua" w:cs="Courier New"/>
          <w:kern w:val="0"/>
          <w:sz w:val="24"/>
          <w:szCs w:val="24"/>
          <w:lang w:eastAsia="en-PH"/>
          <w14:ligatures w14:val="none"/>
        </w:rPr>
        <w:t>https://doi.org/10.62718/vmca.bf-baiij.7.1.SC-1025-003</w:t>
      </w:r>
      <w:r>
        <w:rPr>
          <w:rFonts w:ascii="Book Antiqua" w:eastAsia="Times New Roman" w:hAnsi="Book Antiqua" w:cs="Courier New"/>
          <w:kern w:val="0"/>
          <w:sz w:val="24"/>
          <w:szCs w:val="24"/>
          <w:lang w:eastAsia="en-PH"/>
          <w14:ligatures w14:val="none"/>
        </w:rPr>
        <w:t>.</w:t>
      </w:r>
    </w:p>
    <w:p w14:paraId="1753899C" w14:textId="77777777" w:rsidR="005B5DD9" w:rsidRPr="005B5DD9" w:rsidRDefault="005B5DD9" w:rsidP="005B5DD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5B5DD9">
        <w:rPr>
          <w:rFonts w:ascii="Book Antiqua" w:eastAsia="Times New Roman" w:hAnsi="Book Antiqua" w:cs="Times New Roman"/>
          <w:b/>
          <w:bCs/>
          <w:kern w:val="0"/>
          <w:sz w:val="24"/>
          <w:szCs w:val="24"/>
          <w:lang w:eastAsia="en-PH"/>
          <w14:ligatures w14:val="none"/>
        </w:rPr>
        <w:t>MLA (9th edition)</w:t>
      </w:r>
    </w:p>
    <w:p w14:paraId="7AD2F4DE" w14:textId="365ABFEE" w:rsidR="005B5DD9" w:rsidRPr="005B5DD9" w:rsidRDefault="005B5DD9" w:rsidP="005B5DD9">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5B5DD9">
        <w:rPr>
          <w:rFonts w:ascii="Book Antiqua" w:eastAsia="Times New Roman" w:hAnsi="Book Antiqua" w:cs="Times New Roman"/>
          <w:kern w:val="0"/>
          <w:sz w:val="24"/>
          <w:szCs w:val="24"/>
          <w:lang w:eastAsia="en-PH"/>
          <w14:ligatures w14:val="none"/>
        </w:rPr>
        <w:t xml:space="preserve">Dalipe, Mark Anthony R., Kristine Joy R. Geromo, Marjon T. Villamor, Gaia M. Lumbao, Maricon V. Sampag, and Ruth Gonzales Galicia. “Motivational Factors of Tourist in Visiting Agritourism Sites in Virac, Catanduanes: Basis in the Development of Educational Resource Material.” </w:t>
      </w:r>
      <w:r w:rsidRPr="005B5DD9">
        <w:rPr>
          <w:rFonts w:ascii="Book Antiqua" w:eastAsia="Times New Roman" w:hAnsi="Book Antiqua" w:cs="Times New Roman"/>
          <w:i/>
          <w:iCs/>
          <w:kern w:val="0"/>
          <w:sz w:val="24"/>
          <w:szCs w:val="24"/>
          <w:lang w:eastAsia="en-PH"/>
          <w14:ligatures w14:val="none"/>
        </w:rPr>
        <w:t>Business Fora: Business and Allied Industries International Journal</w:t>
      </w:r>
      <w:r w:rsidRPr="005B5DD9">
        <w:rPr>
          <w:rFonts w:ascii="Book Antiqua" w:eastAsia="Times New Roman" w:hAnsi="Book Antiqua" w:cs="Times New Roman"/>
          <w:kern w:val="0"/>
          <w:sz w:val="24"/>
          <w:szCs w:val="24"/>
          <w:lang w:eastAsia="en-PH"/>
          <w14:ligatures w14:val="none"/>
        </w:rPr>
        <w:t xml:space="preserve">, vol. 7, no. 1, 2026, pp. 98–110. VMC Analytiks. </w:t>
      </w:r>
      <w:r w:rsidRPr="005B5DD9">
        <w:rPr>
          <w:rFonts w:ascii="Book Antiqua" w:eastAsia="Times New Roman" w:hAnsi="Book Antiqua" w:cs="Courier New"/>
          <w:kern w:val="0"/>
          <w:sz w:val="24"/>
          <w:szCs w:val="24"/>
          <w:lang w:eastAsia="en-PH"/>
          <w14:ligatures w14:val="none"/>
        </w:rPr>
        <w:t>https://doi.org/10.62718/vmca.bf-baiij.7.1.SC-1025-003</w:t>
      </w:r>
      <w:r>
        <w:rPr>
          <w:rFonts w:ascii="Book Antiqua" w:eastAsia="Times New Roman" w:hAnsi="Book Antiqua" w:cs="Courier New"/>
          <w:kern w:val="0"/>
          <w:sz w:val="24"/>
          <w:szCs w:val="24"/>
          <w:lang w:eastAsia="en-PH"/>
          <w14:ligatures w14:val="none"/>
        </w:rPr>
        <w:t>.</w:t>
      </w:r>
    </w:p>
    <w:p w14:paraId="0A08E8A1" w14:textId="77777777" w:rsidR="005B5DD9" w:rsidRPr="005B5DD9" w:rsidRDefault="005B5DD9" w:rsidP="005B5DD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5B5DD9">
        <w:rPr>
          <w:rFonts w:ascii="Book Antiqua" w:eastAsia="Times New Roman" w:hAnsi="Book Antiqua" w:cs="Times New Roman"/>
          <w:b/>
          <w:bCs/>
          <w:kern w:val="0"/>
          <w:sz w:val="24"/>
          <w:szCs w:val="24"/>
          <w:lang w:eastAsia="en-PH"/>
          <w14:ligatures w14:val="none"/>
        </w:rPr>
        <w:t>Harvard</w:t>
      </w:r>
    </w:p>
    <w:p w14:paraId="12D12542" w14:textId="5281F011" w:rsidR="005B5DD9" w:rsidRPr="005B5DD9" w:rsidRDefault="005B5DD9" w:rsidP="005B5DD9">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5B5DD9">
        <w:rPr>
          <w:rFonts w:ascii="Book Antiqua" w:eastAsia="Times New Roman" w:hAnsi="Book Antiqua" w:cs="Times New Roman"/>
          <w:kern w:val="0"/>
          <w:sz w:val="24"/>
          <w:szCs w:val="24"/>
          <w:lang w:eastAsia="en-PH"/>
          <w14:ligatures w14:val="none"/>
        </w:rPr>
        <w:t xml:space="preserve">Dalipe, M.A.R., Geromo, K.J.R., Villamor, M.T., Lumbao, G.M., Sampag, M.V. and Galicia, R.G., 2026. Motivational factors of tourist in visiting agritourism sites in Virac, Catanduanes: Basis in the development of educational resource material. </w:t>
      </w:r>
      <w:r w:rsidRPr="005B5DD9">
        <w:rPr>
          <w:rFonts w:ascii="Book Antiqua" w:eastAsia="Times New Roman" w:hAnsi="Book Antiqua" w:cs="Times New Roman"/>
          <w:i/>
          <w:iCs/>
          <w:kern w:val="0"/>
          <w:sz w:val="24"/>
          <w:szCs w:val="24"/>
          <w:lang w:eastAsia="en-PH"/>
          <w14:ligatures w14:val="none"/>
        </w:rPr>
        <w:t>Business Fora: Business and Allied Industries International Journal</w:t>
      </w:r>
      <w:r w:rsidRPr="005B5DD9">
        <w:rPr>
          <w:rFonts w:ascii="Book Antiqua" w:eastAsia="Times New Roman" w:hAnsi="Book Antiqua" w:cs="Times New Roman"/>
          <w:kern w:val="0"/>
          <w:sz w:val="24"/>
          <w:szCs w:val="24"/>
          <w:lang w:eastAsia="en-PH"/>
          <w14:ligatures w14:val="none"/>
        </w:rPr>
        <w:t xml:space="preserve">, 7(1), pp.98–110. doi: </w:t>
      </w:r>
      <w:r w:rsidRPr="005B5DD9">
        <w:rPr>
          <w:rFonts w:ascii="Book Antiqua" w:eastAsia="Times New Roman" w:hAnsi="Book Antiqua" w:cs="Courier New"/>
          <w:kern w:val="0"/>
          <w:sz w:val="24"/>
          <w:szCs w:val="24"/>
          <w:lang w:eastAsia="en-PH"/>
          <w14:ligatures w14:val="none"/>
        </w:rPr>
        <w:t>https://doi.org/10.62718/vmca.bf-baiij.7.1.SC-1025-003</w:t>
      </w:r>
      <w:r>
        <w:rPr>
          <w:rFonts w:ascii="Book Antiqua" w:eastAsia="Times New Roman" w:hAnsi="Book Antiqua" w:cs="Courier New"/>
          <w:kern w:val="0"/>
          <w:sz w:val="24"/>
          <w:szCs w:val="24"/>
          <w:lang w:eastAsia="en-PH"/>
          <w14:ligatures w14:val="none"/>
        </w:rPr>
        <w:t>.</w:t>
      </w:r>
    </w:p>
    <w:p w14:paraId="7C8F145D" w14:textId="77777777" w:rsidR="005B5DD9" w:rsidRPr="005B5DD9" w:rsidRDefault="005B5DD9" w:rsidP="005B5DD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5B5DD9">
        <w:rPr>
          <w:rFonts w:ascii="Book Antiqua" w:eastAsia="Times New Roman" w:hAnsi="Book Antiqua" w:cs="Times New Roman"/>
          <w:b/>
          <w:bCs/>
          <w:kern w:val="0"/>
          <w:sz w:val="24"/>
          <w:szCs w:val="24"/>
          <w:lang w:eastAsia="en-PH"/>
          <w14:ligatures w14:val="none"/>
        </w:rPr>
        <w:t>Chicago (Author-Date style)</w:t>
      </w:r>
    </w:p>
    <w:p w14:paraId="180D2741" w14:textId="5DE39783" w:rsidR="005B5DD9" w:rsidRPr="005B5DD9" w:rsidRDefault="005B5DD9" w:rsidP="005B5DD9">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5B5DD9">
        <w:rPr>
          <w:rFonts w:ascii="Book Antiqua" w:eastAsia="Times New Roman" w:hAnsi="Book Antiqua" w:cs="Times New Roman"/>
          <w:kern w:val="0"/>
          <w:sz w:val="24"/>
          <w:szCs w:val="24"/>
          <w:lang w:eastAsia="en-PH"/>
          <w14:ligatures w14:val="none"/>
        </w:rPr>
        <w:t xml:space="preserve">Dalipe, Mark Anthony R., Kristine Joy R. Geromo, Marjon T. Villamor, Gaia M. Lumbao, Maricon V. Sampag, and Ruth Gonzales Galicia. 2026. “Motivational Factors of Tourist in Visiting Agritourism Sites in Virac, Catanduanes: Basis in the Development of Educational Resource Material.” </w:t>
      </w:r>
      <w:r w:rsidRPr="005B5DD9">
        <w:rPr>
          <w:rFonts w:ascii="Book Antiqua" w:eastAsia="Times New Roman" w:hAnsi="Book Antiqua" w:cs="Times New Roman"/>
          <w:i/>
          <w:iCs/>
          <w:kern w:val="0"/>
          <w:sz w:val="24"/>
          <w:szCs w:val="24"/>
          <w:lang w:eastAsia="en-PH"/>
          <w14:ligatures w14:val="none"/>
        </w:rPr>
        <w:t>Business Fora: Business and Allied Industries International Journal</w:t>
      </w:r>
      <w:r w:rsidRPr="005B5DD9">
        <w:rPr>
          <w:rFonts w:ascii="Book Antiqua" w:eastAsia="Times New Roman" w:hAnsi="Book Antiqua" w:cs="Times New Roman"/>
          <w:kern w:val="0"/>
          <w:sz w:val="24"/>
          <w:szCs w:val="24"/>
          <w:lang w:eastAsia="en-PH"/>
          <w14:ligatures w14:val="none"/>
        </w:rPr>
        <w:t xml:space="preserve"> 7, no. 1: 98–110. </w:t>
      </w:r>
      <w:r w:rsidRPr="005B5DD9">
        <w:rPr>
          <w:rFonts w:ascii="Book Antiqua" w:eastAsia="Times New Roman" w:hAnsi="Book Antiqua" w:cs="Courier New"/>
          <w:kern w:val="0"/>
          <w:sz w:val="24"/>
          <w:szCs w:val="24"/>
          <w:lang w:eastAsia="en-PH"/>
          <w14:ligatures w14:val="none"/>
        </w:rPr>
        <w:t>https://doi.org/10.62718/vmca.bf-baiij.7.1.SC-1025-003</w:t>
      </w:r>
      <w:r>
        <w:rPr>
          <w:rFonts w:ascii="Book Antiqua" w:eastAsia="Times New Roman" w:hAnsi="Book Antiqua" w:cs="Courier New"/>
          <w:kern w:val="0"/>
          <w:sz w:val="24"/>
          <w:szCs w:val="24"/>
          <w:lang w:eastAsia="en-PH"/>
          <w14:ligatures w14:val="none"/>
        </w:rPr>
        <w:t>.</w:t>
      </w:r>
    </w:p>
    <w:p w14:paraId="4BA798A4" w14:textId="77777777" w:rsidR="005B5DD9" w:rsidRPr="005B5DD9" w:rsidRDefault="005B5DD9" w:rsidP="005B5DD9">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5B5DD9">
        <w:rPr>
          <w:rFonts w:ascii="Book Antiqua" w:eastAsia="Times New Roman" w:hAnsi="Book Antiqua" w:cs="Times New Roman"/>
          <w:b/>
          <w:bCs/>
          <w:kern w:val="0"/>
          <w:sz w:val="24"/>
          <w:szCs w:val="24"/>
          <w:lang w:eastAsia="en-PH"/>
          <w14:ligatures w14:val="none"/>
        </w:rPr>
        <w:t>Vancouver</w:t>
      </w:r>
    </w:p>
    <w:p w14:paraId="7797B5F9" w14:textId="7F386689" w:rsidR="005B5DD9" w:rsidRPr="005B5DD9" w:rsidRDefault="005B5DD9" w:rsidP="005B5DD9">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5B5DD9">
        <w:rPr>
          <w:rFonts w:ascii="Book Antiqua" w:eastAsia="Times New Roman" w:hAnsi="Book Antiqua" w:cs="Times New Roman"/>
          <w:kern w:val="0"/>
          <w:sz w:val="24"/>
          <w:szCs w:val="24"/>
          <w:lang w:eastAsia="en-PH"/>
          <w14:ligatures w14:val="none"/>
        </w:rPr>
        <w:t xml:space="preserve">Dalipe MAR, Geromo KJR, Villamor MT, Lumbao GM, Sampag MV, Galicia RG. Motivational factors of tourist in visiting agritourism sites in Virac, Catanduanes: Basis in the development of educational resource material. </w:t>
      </w:r>
      <w:r w:rsidRPr="005B5DD9">
        <w:rPr>
          <w:rFonts w:ascii="Book Antiqua" w:eastAsia="Times New Roman" w:hAnsi="Book Antiqua" w:cs="Times New Roman"/>
          <w:i/>
          <w:iCs/>
          <w:kern w:val="0"/>
          <w:sz w:val="24"/>
          <w:szCs w:val="24"/>
          <w:lang w:eastAsia="en-PH"/>
          <w14:ligatures w14:val="none"/>
        </w:rPr>
        <w:t>Business Fora: Business and Allied Industries International Journal</w:t>
      </w:r>
      <w:r w:rsidRPr="005B5DD9">
        <w:rPr>
          <w:rFonts w:ascii="Book Antiqua" w:eastAsia="Times New Roman" w:hAnsi="Book Antiqua" w:cs="Times New Roman"/>
          <w:kern w:val="0"/>
          <w:sz w:val="24"/>
          <w:szCs w:val="24"/>
          <w:lang w:eastAsia="en-PH"/>
          <w14:ligatures w14:val="none"/>
        </w:rPr>
        <w:t xml:space="preserve">. 2026;7(1):98–110. doi: </w:t>
      </w:r>
      <w:r w:rsidRPr="005B5DD9">
        <w:rPr>
          <w:rFonts w:ascii="Book Antiqua" w:eastAsia="Times New Roman" w:hAnsi="Book Antiqua" w:cs="Courier New"/>
          <w:kern w:val="0"/>
          <w:sz w:val="24"/>
          <w:szCs w:val="24"/>
          <w:lang w:eastAsia="en-PH"/>
          <w14:ligatures w14:val="none"/>
        </w:rPr>
        <w:t>https://doi.org/10.62718/vmca.bf-baiij.7.1.SC-1025-003</w:t>
      </w:r>
      <w:r>
        <w:rPr>
          <w:rFonts w:ascii="Book Antiqua" w:eastAsia="Times New Roman" w:hAnsi="Book Antiqua" w:cs="Courier New"/>
          <w:kern w:val="0"/>
          <w:sz w:val="24"/>
          <w:szCs w:val="24"/>
          <w:lang w:eastAsia="en-PH"/>
          <w14:ligatures w14:val="none"/>
        </w:rPr>
        <w:t>.</w:t>
      </w:r>
    </w:p>
    <w:p w14:paraId="2747E0EF" w14:textId="39944528" w:rsidR="00A21F23" w:rsidRPr="00A21F23" w:rsidRDefault="00A21F23" w:rsidP="00A21F23">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p>
    <w:p w14:paraId="7F55EAF9" w14:textId="48D43A5C" w:rsidR="00671F20" w:rsidRPr="00A21F23" w:rsidRDefault="00671F20" w:rsidP="00A21F23"/>
    <w:sectPr w:rsidR="00671F20" w:rsidRPr="00A21F23" w:rsidSect="00AE2C6C">
      <w:headerReference w:type="default" r:id="rId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6DB79" w14:textId="77777777" w:rsidR="000845F5" w:rsidRDefault="000845F5" w:rsidP="00290EE2">
      <w:pPr>
        <w:spacing w:after="0" w:line="240" w:lineRule="auto"/>
      </w:pPr>
      <w:r>
        <w:separator/>
      </w:r>
    </w:p>
  </w:endnote>
  <w:endnote w:type="continuationSeparator" w:id="0">
    <w:p w14:paraId="4FA4572B" w14:textId="77777777" w:rsidR="000845F5" w:rsidRDefault="000845F5" w:rsidP="00290E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39F61" w14:textId="77777777" w:rsidR="000845F5" w:rsidRDefault="000845F5" w:rsidP="00290EE2">
      <w:pPr>
        <w:spacing w:after="0" w:line="240" w:lineRule="auto"/>
      </w:pPr>
      <w:r>
        <w:separator/>
      </w:r>
    </w:p>
  </w:footnote>
  <w:footnote w:type="continuationSeparator" w:id="0">
    <w:p w14:paraId="65CE0471" w14:textId="77777777" w:rsidR="000845F5" w:rsidRDefault="000845F5" w:rsidP="00290E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8AE66" w14:textId="77777777" w:rsidR="00290EE2" w:rsidRDefault="00290EE2">
    <w:pPr>
      <w:pStyle w:val="Header"/>
      <w:rPr>
        <w:rFonts w:ascii="Times New Roman" w:eastAsia="Times New Roman" w:hAnsi="Times New Roman" w:cs="Times New Roman"/>
        <w:b/>
        <w:bCs/>
        <w:kern w:val="0"/>
        <w:sz w:val="28"/>
        <w:szCs w:val="28"/>
        <w:lang w:eastAsia="en-PH"/>
        <w14:ligatures w14:val="none"/>
      </w:rPr>
    </w:pPr>
  </w:p>
  <w:p w14:paraId="3F6EC176" w14:textId="3C082D2D" w:rsidR="00E02438" w:rsidRPr="00E02438" w:rsidRDefault="00E02438" w:rsidP="00E02438">
    <w:pPr>
      <w:pStyle w:val="Header"/>
    </w:pPr>
    <w:r w:rsidRPr="00E02438">
      <w:rPr>
        <w:noProof/>
      </w:rPr>
      <w:drawing>
        <wp:inline distT="0" distB="0" distL="0" distR="0" wp14:anchorId="502891D0" wp14:editId="449A61E3">
          <wp:extent cx="939165" cy="412750"/>
          <wp:effectExtent l="0" t="0" r="0" b="6350"/>
          <wp:docPr id="1328793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955" cy="423205"/>
                  </a:xfrm>
                  <a:prstGeom prst="rect">
                    <a:avLst/>
                  </a:prstGeom>
                  <a:noFill/>
                  <a:ln>
                    <a:noFill/>
                  </a:ln>
                </pic:spPr>
              </pic:pic>
            </a:graphicData>
          </a:graphic>
        </wp:inline>
      </w:drawing>
    </w:r>
  </w:p>
  <w:p w14:paraId="3CA54B6F" w14:textId="0B0C146D" w:rsidR="00290EE2" w:rsidRDefault="00FE2FD1">
    <w:pPr>
      <w:pStyle w:val="Header"/>
    </w:pPr>
    <w:r>
      <w:t>__________________________________________________________________________________</w:t>
    </w:r>
  </w:p>
  <w:p w14:paraId="460F50A3" w14:textId="77777777" w:rsidR="00FE2FD1" w:rsidRDefault="00FE2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06C3"/>
    <w:multiLevelType w:val="multilevel"/>
    <w:tmpl w:val="2736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30380"/>
    <w:multiLevelType w:val="multilevel"/>
    <w:tmpl w:val="00B6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853E9"/>
    <w:multiLevelType w:val="multilevel"/>
    <w:tmpl w:val="BBD8F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55C21"/>
    <w:multiLevelType w:val="multilevel"/>
    <w:tmpl w:val="54D4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C47EF"/>
    <w:multiLevelType w:val="multilevel"/>
    <w:tmpl w:val="A5AEA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4E0611"/>
    <w:multiLevelType w:val="multilevel"/>
    <w:tmpl w:val="F5F6A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D24229"/>
    <w:multiLevelType w:val="multilevel"/>
    <w:tmpl w:val="9D2C2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F9302C"/>
    <w:multiLevelType w:val="multilevel"/>
    <w:tmpl w:val="6464A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963175"/>
    <w:multiLevelType w:val="multilevel"/>
    <w:tmpl w:val="0EAC1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D94123"/>
    <w:multiLevelType w:val="multilevel"/>
    <w:tmpl w:val="2A8A4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AB3239"/>
    <w:multiLevelType w:val="multilevel"/>
    <w:tmpl w:val="C6BCB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362EA"/>
    <w:multiLevelType w:val="multilevel"/>
    <w:tmpl w:val="0CD6C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F16537"/>
    <w:multiLevelType w:val="multilevel"/>
    <w:tmpl w:val="86805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1F6CB5"/>
    <w:multiLevelType w:val="multilevel"/>
    <w:tmpl w:val="E4263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8620DD"/>
    <w:multiLevelType w:val="multilevel"/>
    <w:tmpl w:val="CBE2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886D4A"/>
    <w:multiLevelType w:val="multilevel"/>
    <w:tmpl w:val="0FF8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5510B3"/>
    <w:multiLevelType w:val="multilevel"/>
    <w:tmpl w:val="B6E0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573716"/>
    <w:multiLevelType w:val="multilevel"/>
    <w:tmpl w:val="24F4E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04378F"/>
    <w:multiLevelType w:val="multilevel"/>
    <w:tmpl w:val="5FB88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0714CE"/>
    <w:multiLevelType w:val="multilevel"/>
    <w:tmpl w:val="A330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13690B"/>
    <w:multiLevelType w:val="multilevel"/>
    <w:tmpl w:val="4ECA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2077C6"/>
    <w:multiLevelType w:val="multilevel"/>
    <w:tmpl w:val="5F769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3D2433"/>
    <w:multiLevelType w:val="multilevel"/>
    <w:tmpl w:val="E75E9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6D81CD1"/>
    <w:multiLevelType w:val="multilevel"/>
    <w:tmpl w:val="74F2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657919"/>
    <w:multiLevelType w:val="multilevel"/>
    <w:tmpl w:val="27C8A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A1AD1"/>
    <w:multiLevelType w:val="multilevel"/>
    <w:tmpl w:val="D3BED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2E198B"/>
    <w:multiLevelType w:val="multilevel"/>
    <w:tmpl w:val="415AA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4F4311"/>
    <w:multiLevelType w:val="multilevel"/>
    <w:tmpl w:val="518CC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FF111DD"/>
    <w:multiLevelType w:val="multilevel"/>
    <w:tmpl w:val="049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EA7C95"/>
    <w:multiLevelType w:val="multilevel"/>
    <w:tmpl w:val="6D58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8B1569C"/>
    <w:multiLevelType w:val="multilevel"/>
    <w:tmpl w:val="D2F80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EE663E0"/>
    <w:multiLevelType w:val="multilevel"/>
    <w:tmpl w:val="C70A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C67724"/>
    <w:multiLevelType w:val="multilevel"/>
    <w:tmpl w:val="05004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0951E5"/>
    <w:multiLevelType w:val="multilevel"/>
    <w:tmpl w:val="E3CE15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9BD44FC"/>
    <w:multiLevelType w:val="multilevel"/>
    <w:tmpl w:val="8696B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5A56FD"/>
    <w:multiLevelType w:val="multilevel"/>
    <w:tmpl w:val="F822D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79323F"/>
    <w:multiLevelType w:val="multilevel"/>
    <w:tmpl w:val="A6A6C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634558"/>
    <w:multiLevelType w:val="multilevel"/>
    <w:tmpl w:val="EB30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9A3E7D"/>
    <w:multiLevelType w:val="multilevel"/>
    <w:tmpl w:val="164CD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010D60"/>
    <w:multiLevelType w:val="multilevel"/>
    <w:tmpl w:val="8BB4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E8345C"/>
    <w:multiLevelType w:val="multilevel"/>
    <w:tmpl w:val="C2025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6364749">
    <w:abstractNumId w:val="13"/>
  </w:num>
  <w:num w:numId="2" w16cid:durableId="1840268275">
    <w:abstractNumId w:val="11"/>
  </w:num>
  <w:num w:numId="3" w16cid:durableId="2000771353">
    <w:abstractNumId w:val="39"/>
  </w:num>
  <w:num w:numId="4" w16cid:durableId="2116243982">
    <w:abstractNumId w:val="35"/>
  </w:num>
  <w:num w:numId="5" w16cid:durableId="1848906244">
    <w:abstractNumId w:val="15"/>
  </w:num>
  <w:num w:numId="6" w16cid:durableId="1097823186">
    <w:abstractNumId w:val="32"/>
  </w:num>
  <w:num w:numId="7" w16cid:durableId="692804235">
    <w:abstractNumId w:val="2"/>
  </w:num>
  <w:num w:numId="8" w16cid:durableId="1726566390">
    <w:abstractNumId w:val="9"/>
  </w:num>
  <w:num w:numId="9" w16cid:durableId="1678072523">
    <w:abstractNumId w:val="25"/>
  </w:num>
  <w:num w:numId="10" w16cid:durableId="657853467">
    <w:abstractNumId w:val="29"/>
  </w:num>
  <w:num w:numId="11" w16cid:durableId="1146699707">
    <w:abstractNumId w:val="3"/>
  </w:num>
  <w:num w:numId="12" w16cid:durableId="1427195387">
    <w:abstractNumId w:val="7"/>
  </w:num>
  <w:num w:numId="13" w16cid:durableId="359866326">
    <w:abstractNumId w:val="31"/>
  </w:num>
  <w:num w:numId="14" w16cid:durableId="1610159056">
    <w:abstractNumId w:val="28"/>
  </w:num>
  <w:num w:numId="15" w16cid:durableId="1035691151">
    <w:abstractNumId w:val="21"/>
  </w:num>
  <w:num w:numId="16" w16cid:durableId="1345325102">
    <w:abstractNumId w:val="6"/>
  </w:num>
  <w:num w:numId="17" w16cid:durableId="1939287957">
    <w:abstractNumId w:val="40"/>
  </w:num>
  <w:num w:numId="18" w16cid:durableId="1050766509">
    <w:abstractNumId w:val="5"/>
  </w:num>
  <w:num w:numId="19" w16cid:durableId="2067869038">
    <w:abstractNumId w:val="38"/>
  </w:num>
  <w:num w:numId="20" w16cid:durableId="926382073">
    <w:abstractNumId w:val="33"/>
  </w:num>
  <w:num w:numId="21" w16cid:durableId="175774230">
    <w:abstractNumId w:val="30"/>
  </w:num>
  <w:num w:numId="22" w16cid:durableId="1980959878">
    <w:abstractNumId w:val="0"/>
  </w:num>
  <w:num w:numId="23" w16cid:durableId="853687006">
    <w:abstractNumId w:val="10"/>
  </w:num>
  <w:num w:numId="24" w16cid:durableId="767386865">
    <w:abstractNumId w:val="4"/>
  </w:num>
  <w:num w:numId="25" w16cid:durableId="1604609217">
    <w:abstractNumId w:val="26"/>
  </w:num>
  <w:num w:numId="26" w16cid:durableId="1921407878">
    <w:abstractNumId w:val="17"/>
  </w:num>
  <w:num w:numId="27" w16cid:durableId="1137604831">
    <w:abstractNumId w:val="37"/>
  </w:num>
  <w:num w:numId="28" w16cid:durableId="1843815622">
    <w:abstractNumId w:val="20"/>
  </w:num>
  <w:num w:numId="29" w16cid:durableId="1984578508">
    <w:abstractNumId w:val="18"/>
  </w:num>
  <w:num w:numId="30" w16cid:durableId="1087849804">
    <w:abstractNumId w:val="16"/>
  </w:num>
  <w:num w:numId="31" w16cid:durableId="1535196864">
    <w:abstractNumId w:val="19"/>
  </w:num>
  <w:num w:numId="32" w16cid:durableId="1006328205">
    <w:abstractNumId w:val="36"/>
  </w:num>
  <w:num w:numId="33" w16cid:durableId="2076972064">
    <w:abstractNumId w:val="24"/>
  </w:num>
  <w:num w:numId="34" w16cid:durableId="1405879234">
    <w:abstractNumId w:val="14"/>
  </w:num>
  <w:num w:numId="35" w16cid:durableId="1221095569">
    <w:abstractNumId w:val="34"/>
  </w:num>
  <w:num w:numId="36" w16cid:durableId="759450845">
    <w:abstractNumId w:val="23"/>
  </w:num>
  <w:num w:numId="37" w16cid:durableId="869100768">
    <w:abstractNumId w:val="1"/>
  </w:num>
  <w:num w:numId="38" w16cid:durableId="505630791">
    <w:abstractNumId w:val="12"/>
  </w:num>
  <w:num w:numId="39" w16cid:durableId="1763648156">
    <w:abstractNumId w:val="8"/>
  </w:num>
  <w:num w:numId="40" w16cid:durableId="544607842">
    <w:abstractNumId w:val="22"/>
  </w:num>
  <w:num w:numId="41" w16cid:durableId="157033967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C6C"/>
    <w:rsid w:val="000115DB"/>
    <w:rsid w:val="00012787"/>
    <w:rsid w:val="000845F5"/>
    <w:rsid w:val="000854B9"/>
    <w:rsid w:val="00085B6A"/>
    <w:rsid w:val="000905B2"/>
    <w:rsid w:val="000C2E76"/>
    <w:rsid w:val="000F5057"/>
    <w:rsid w:val="001F54EA"/>
    <w:rsid w:val="001F5BD9"/>
    <w:rsid w:val="00211740"/>
    <w:rsid w:val="00222ABA"/>
    <w:rsid w:val="00246867"/>
    <w:rsid w:val="00290EE2"/>
    <w:rsid w:val="002D3698"/>
    <w:rsid w:val="00330D2C"/>
    <w:rsid w:val="00370561"/>
    <w:rsid w:val="003970FD"/>
    <w:rsid w:val="0044264E"/>
    <w:rsid w:val="00451A1D"/>
    <w:rsid w:val="00487414"/>
    <w:rsid w:val="004B00A8"/>
    <w:rsid w:val="005611F8"/>
    <w:rsid w:val="00567107"/>
    <w:rsid w:val="005B5DD9"/>
    <w:rsid w:val="005C1604"/>
    <w:rsid w:val="005D4E9F"/>
    <w:rsid w:val="00603552"/>
    <w:rsid w:val="00623E52"/>
    <w:rsid w:val="00623E9B"/>
    <w:rsid w:val="00640E62"/>
    <w:rsid w:val="0064183D"/>
    <w:rsid w:val="00645E4B"/>
    <w:rsid w:val="00657F10"/>
    <w:rsid w:val="00671F20"/>
    <w:rsid w:val="0068556F"/>
    <w:rsid w:val="006F7E14"/>
    <w:rsid w:val="00755F49"/>
    <w:rsid w:val="0076121C"/>
    <w:rsid w:val="007A4C79"/>
    <w:rsid w:val="007E1A12"/>
    <w:rsid w:val="00805D1B"/>
    <w:rsid w:val="00814436"/>
    <w:rsid w:val="00847EF6"/>
    <w:rsid w:val="00866E71"/>
    <w:rsid w:val="008A200E"/>
    <w:rsid w:val="008B0FD5"/>
    <w:rsid w:val="008E0D92"/>
    <w:rsid w:val="008E42EE"/>
    <w:rsid w:val="008F2867"/>
    <w:rsid w:val="009251D0"/>
    <w:rsid w:val="009500D8"/>
    <w:rsid w:val="009518D7"/>
    <w:rsid w:val="0095714A"/>
    <w:rsid w:val="00991E5A"/>
    <w:rsid w:val="009C0634"/>
    <w:rsid w:val="00A21F23"/>
    <w:rsid w:val="00A50563"/>
    <w:rsid w:val="00A949FE"/>
    <w:rsid w:val="00AB2C26"/>
    <w:rsid w:val="00AE2C6C"/>
    <w:rsid w:val="00AE75F0"/>
    <w:rsid w:val="00B52DD2"/>
    <w:rsid w:val="00BC682E"/>
    <w:rsid w:val="00C27D2D"/>
    <w:rsid w:val="00C31B93"/>
    <w:rsid w:val="00C4676A"/>
    <w:rsid w:val="00C80E04"/>
    <w:rsid w:val="00C833B7"/>
    <w:rsid w:val="00D33289"/>
    <w:rsid w:val="00D56D5A"/>
    <w:rsid w:val="00D801F1"/>
    <w:rsid w:val="00D80679"/>
    <w:rsid w:val="00D86FE1"/>
    <w:rsid w:val="00DC7E96"/>
    <w:rsid w:val="00E00198"/>
    <w:rsid w:val="00E02438"/>
    <w:rsid w:val="00E1410E"/>
    <w:rsid w:val="00E441AA"/>
    <w:rsid w:val="00E5333A"/>
    <w:rsid w:val="00E5452F"/>
    <w:rsid w:val="00E84A47"/>
    <w:rsid w:val="00EA227F"/>
    <w:rsid w:val="00EC4E5D"/>
    <w:rsid w:val="00F335F1"/>
    <w:rsid w:val="00F34DCD"/>
    <w:rsid w:val="00FE2FD1"/>
    <w:rsid w:val="00FE4A12"/>
    <w:rsid w:val="00FE596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18648"/>
  <w15:chartTrackingRefBased/>
  <w15:docId w15:val="{CB524ECB-B2ED-469E-8D91-709584522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C79"/>
  </w:style>
  <w:style w:type="paragraph" w:styleId="Heading1">
    <w:name w:val="heading 1"/>
    <w:basedOn w:val="Normal"/>
    <w:next w:val="Normal"/>
    <w:link w:val="Heading1Char"/>
    <w:uiPriority w:val="9"/>
    <w:qFormat/>
    <w:rsid w:val="00AE2C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2C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2C6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2C6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2C6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2C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2C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2C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2C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C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2C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2C6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2C6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2C6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2C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2C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2C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2C6C"/>
    <w:rPr>
      <w:rFonts w:eastAsiaTheme="majorEastAsia" w:cstheme="majorBidi"/>
      <w:color w:val="272727" w:themeColor="text1" w:themeTint="D8"/>
    </w:rPr>
  </w:style>
  <w:style w:type="paragraph" w:styleId="Title">
    <w:name w:val="Title"/>
    <w:basedOn w:val="Normal"/>
    <w:next w:val="Normal"/>
    <w:link w:val="TitleChar"/>
    <w:uiPriority w:val="10"/>
    <w:qFormat/>
    <w:rsid w:val="00AE2C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C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C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C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2C6C"/>
    <w:pPr>
      <w:spacing w:before="160"/>
      <w:jc w:val="center"/>
    </w:pPr>
    <w:rPr>
      <w:i/>
      <w:iCs/>
      <w:color w:val="404040" w:themeColor="text1" w:themeTint="BF"/>
    </w:rPr>
  </w:style>
  <w:style w:type="character" w:customStyle="1" w:styleId="QuoteChar">
    <w:name w:val="Quote Char"/>
    <w:basedOn w:val="DefaultParagraphFont"/>
    <w:link w:val="Quote"/>
    <w:uiPriority w:val="29"/>
    <w:rsid w:val="00AE2C6C"/>
    <w:rPr>
      <w:i/>
      <w:iCs/>
      <w:color w:val="404040" w:themeColor="text1" w:themeTint="BF"/>
    </w:rPr>
  </w:style>
  <w:style w:type="paragraph" w:styleId="ListParagraph">
    <w:name w:val="List Paragraph"/>
    <w:basedOn w:val="Normal"/>
    <w:uiPriority w:val="34"/>
    <w:qFormat/>
    <w:rsid w:val="00AE2C6C"/>
    <w:pPr>
      <w:ind w:left="720"/>
      <w:contextualSpacing/>
    </w:pPr>
  </w:style>
  <w:style w:type="character" w:styleId="IntenseEmphasis">
    <w:name w:val="Intense Emphasis"/>
    <w:basedOn w:val="DefaultParagraphFont"/>
    <w:uiPriority w:val="21"/>
    <w:qFormat/>
    <w:rsid w:val="00AE2C6C"/>
    <w:rPr>
      <w:i/>
      <w:iCs/>
      <w:color w:val="2F5496" w:themeColor="accent1" w:themeShade="BF"/>
    </w:rPr>
  </w:style>
  <w:style w:type="paragraph" w:styleId="IntenseQuote">
    <w:name w:val="Intense Quote"/>
    <w:basedOn w:val="Normal"/>
    <w:next w:val="Normal"/>
    <w:link w:val="IntenseQuoteChar"/>
    <w:uiPriority w:val="30"/>
    <w:qFormat/>
    <w:rsid w:val="00AE2C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2C6C"/>
    <w:rPr>
      <w:i/>
      <w:iCs/>
      <w:color w:val="2F5496" w:themeColor="accent1" w:themeShade="BF"/>
    </w:rPr>
  </w:style>
  <w:style w:type="character" w:styleId="IntenseReference">
    <w:name w:val="Intense Reference"/>
    <w:basedOn w:val="DefaultParagraphFont"/>
    <w:uiPriority w:val="32"/>
    <w:qFormat/>
    <w:rsid w:val="00AE2C6C"/>
    <w:rPr>
      <w:b/>
      <w:bCs/>
      <w:smallCaps/>
      <w:color w:val="2F5496" w:themeColor="accent1" w:themeShade="BF"/>
      <w:spacing w:val="5"/>
    </w:rPr>
  </w:style>
  <w:style w:type="paragraph" w:styleId="Header">
    <w:name w:val="header"/>
    <w:basedOn w:val="Normal"/>
    <w:link w:val="HeaderChar"/>
    <w:uiPriority w:val="99"/>
    <w:unhideWhenUsed/>
    <w:rsid w:val="00290E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0EE2"/>
  </w:style>
  <w:style w:type="paragraph" w:styleId="Footer">
    <w:name w:val="footer"/>
    <w:basedOn w:val="Normal"/>
    <w:link w:val="FooterChar"/>
    <w:uiPriority w:val="99"/>
    <w:unhideWhenUsed/>
    <w:rsid w:val="00290E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EE2"/>
  </w:style>
  <w:style w:type="table" w:styleId="TableGrid">
    <w:name w:val="Table Grid"/>
    <w:basedOn w:val="TableNormal"/>
    <w:uiPriority w:val="39"/>
    <w:rsid w:val="000905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F54EA"/>
    <w:pPr>
      <w:spacing w:before="100" w:beforeAutospacing="1" w:after="100" w:afterAutospacing="1" w:line="240" w:lineRule="auto"/>
    </w:pPr>
    <w:rPr>
      <w:rFonts w:ascii="Times New Roman" w:eastAsia="Times New Roman" w:hAnsi="Times New Roman" w:cs="Times New Roman"/>
      <w:kern w:val="0"/>
      <w:sz w:val="24"/>
      <w:szCs w:val="24"/>
      <w:lang w:eastAsia="en-PH"/>
      <w14:ligatures w14:val="none"/>
    </w:rPr>
  </w:style>
  <w:style w:type="character" w:styleId="Strong">
    <w:name w:val="Strong"/>
    <w:basedOn w:val="DefaultParagraphFont"/>
    <w:uiPriority w:val="22"/>
    <w:qFormat/>
    <w:rsid w:val="001F54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1</Pages>
  <Words>314</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victorcajala@outlook.com</dc:creator>
  <cp:keywords/>
  <dc:description/>
  <cp:lastModifiedBy>victorcajala@outlook.com</cp:lastModifiedBy>
  <cp:revision>32</cp:revision>
  <cp:lastPrinted>2026-02-21T05:03:00Z</cp:lastPrinted>
  <dcterms:created xsi:type="dcterms:W3CDTF">2025-12-03T11:08:00Z</dcterms:created>
  <dcterms:modified xsi:type="dcterms:W3CDTF">2026-04-21T17:58:00Z</dcterms:modified>
</cp:coreProperties>
</file>