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114E6" w14:textId="77777777" w:rsidR="003E2298" w:rsidRDefault="003E2298" w:rsidP="003E2298">
      <w:pPr>
        <w:suppressLineNumbers/>
        <w:spacing w:after="0" w:line="240" w:lineRule="auto"/>
        <w:jc w:val="both"/>
        <w:rPr>
          <w:rFonts w:ascii="Arial Rounded MT Bold" w:eastAsia="Century" w:hAnsi="Arial Rounded MT Bold" w:cs="Century"/>
          <w:b/>
          <w:bCs/>
          <w:color w:val="000000" w:themeColor="text1"/>
        </w:rPr>
      </w:pPr>
      <w:r>
        <w:rPr>
          <w:rFonts w:ascii="Arial Rounded MT Bold" w:eastAsia="Century" w:hAnsi="Arial Rounded MT Bold" w:cs="Century"/>
          <w:b/>
          <w:bCs/>
          <w:color w:val="000000" w:themeColor="text1"/>
        </w:rPr>
        <w:t>REFERENCES</w:t>
      </w:r>
    </w:p>
    <w:p w14:paraId="68BB63DD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77F30AD8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Amin, M., Mohd Rasdi, R., &amp; Ahmad, S. (2019). OSH practices in hospitality: Key insights. </w:t>
      </w:r>
      <w:r>
        <w:rPr>
          <w:rFonts w:ascii="Bahnschrift" w:eastAsia="Century" w:hAnsi="Bahnschrift" w:cs="Century"/>
          <w:i/>
          <w:iCs/>
          <w:color w:val="000000" w:themeColor="text1"/>
        </w:rPr>
        <w:t>International Journal of Hospitality Management, 84</w:t>
      </w:r>
      <w:r>
        <w:rPr>
          <w:rFonts w:ascii="Bahnschrift" w:eastAsia="Century" w:hAnsi="Bahnschrift" w:cs="Century"/>
          <w:color w:val="000000" w:themeColor="text1"/>
        </w:rPr>
        <w:t>, 102332. https://doi.org/10.1016/j.ijhm.2019.102332</w:t>
      </w:r>
    </w:p>
    <w:p w14:paraId="41F40072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48C1F88B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proofErr w:type="spellStart"/>
      <w:r>
        <w:rPr>
          <w:rFonts w:ascii="Bahnschrift" w:eastAsia="Century" w:hAnsi="Bahnschrift" w:cs="Century"/>
          <w:color w:val="000000" w:themeColor="text1"/>
        </w:rPr>
        <w:t>Arezes</w:t>
      </w:r>
      <w:proofErr w:type="spellEnd"/>
      <w:r>
        <w:rPr>
          <w:rFonts w:ascii="Bahnschrift" w:eastAsia="Century" w:hAnsi="Bahnschrift" w:cs="Century"/>
          <w:color w:val="000000" w:themeColor="text1"/>
        </w:rPr>
        <w:t xml:space="preserve">, P. M., &amp; Miguel, A. S. (2016). Influence of safety culture in hospitality OSH. </w:t>
      </w:r>
      <w:r>
        <w:rPr>
          <w:rFonts w:ascii="Bahnschrift" w:eastAsia="Century" w:hAnsi="Bahnschrift" w:cs="Century"/>
          <w:i/>
          <w:iCs/>
          <w:color w:val="000000" w:themeColor="text1"/>
        </w:rPr>
        <w:t>Safety Science, 84</w:t>
      </w:r>
      <w:r>
        <w:rPr>
          <w:rFonts w:ascii="Bahnschrift" w:eastAsia="Century" w:hAnsi="Bahnschrift" w:cs="Century"/>
          <w:color w:val="000000" w:themeColor="text1"/>
        </w:rPr>
        <w:t xml:space="preserve">, 181–188. </w:t>
      </w:r>
    </w:p>
    <w:p w14:paraId="5468D23F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5456AE5A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Brown et al. (2020). A review of hotel industry resilience to disasters. International </w:t>
      </w:r>
      <w:r>
        <w:rPr>
          <w:rFonts w:ascii="Bahnschrift" w:eastAsia="Century" w:hAnsi="Bahnschrift" w:cs="Century"/>
          <w:i/>
          <w:iCs/>
          <w:color w:val="000000" w:themeColor="text1"/>
        </w:rPr>
        <w:t>Journal of Disaster Risk Reduction, 22</w:t>
      </w:r>
      <w:r>
        <w:rPr>
          <w:rFonts w:ascii="Bahnschrift" w:eastAsia="Century" w:hAnsi="Bahnschrift" w:cs="Century"/>
          <w:color w:val="000000" w:themeColor="text1"/>
        </w:rPr>
        <w:t xml:space="preserve">, 362–370. </w:t>
      </w:r>
    </w:p>
    <w:p w14:paraId="1C6B8904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64741B85" w14:textId="59525730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Centers for Disease Control and Prevention. (2021). Best practices for industrial safety. </w:t>
      </w:r>
      <w:r w:rsidRPr="007C73A2">
        <w:rPr>
          <w:rFonts w:ascii="Bahnschrift" w:eastAsia="Century" w:hAnsi="Bahnschrift" w:cs="Century"/>
        </w:rPr>
        <w:t>https://www.cdc.gov</w:t>
      </w:r>
      <w:r>
        <w:rPr>
          <w:rFonts w:ascii="Bahnschrift" w:eastAsia="Century" w:hAnsi="Bahnschrift" w:cs="Century"/>
        </w:rPr>
        <w:t xml:space="preserve"> </w:t>
      </w:r>
    </w:p>
    <w:p w14:paraId="55509894" w14:textId="77777777" w:rsidR="003E2298" w:rsidRDefault="003E2298" w:rsidP="003E2298">
      <w:pPr>
        <w:suppressLineNumbers/>
        <w:spacing w:after="0" w:line="240" w:lineRule="auto"/>
        <w:jc w:val="both"/>
        <w:rPr>
          <w:rFonts w:ascii="Bahnschrift" w:eastAsia="Century" w:hAnsi="Bahnschrift" w:cs="Century"/>
          <w:color w:val="000000" w:themeColor="text1"/>
        </w:rPr>
      </w:pPr>
    </w:p>
    <w:p w14:paraId="0FFA48C0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Chan, M., &amp; Hawkins, G. (2018). Assessing OSH frameworks in the hotel industry. </w:t>
      </w:r>
      <w:r>
        <w:rPr>
          <w:rFonts w:ascii="Bahnschrift" w:eastAsia="Century" w:hAnsi="Bahnschrift" w:cs="Century"/>
          <w:i/>
          <w:iCs/>
          <w:color w:val="000000" w:themeColor="text1"/>
        </w:rPr>
        <w:t>International Journal of Hospitality Management, 28</w:t>
      </w:r>
      <w:r>
        <w:rPr>
          <w:rFonts w:ascii="Bahnschrift" w:eastAsia="Century" w:hAnsi="Bahnschrift" w:cs="Century"/>
          <w:color w:val="000000" w:themeColor="text1"/>
        </w:rPr>
        <w:t>(5), 211–223.</w:t>
      </w:r>
    </w:p>
    <w:p w14:paraId="0FC59F35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2B79633C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Cheng, J. C., &amp; Chang, Y. P. (2019). OSH implementation roadblocks in hotels. </w:t>
      </w:r>
      <w:r>
        <w:rPr>
          <w:rFonts w:ascii="Bahnschrift" w:eastAsia="Century" w:hAnsi="Bahnschrift" w:cs="Century"/>
          <w:i/>
          <w:iCs/>
          <w:color w:val="000000" w:themeColor="text1"/>
        </w:rPr>
        <w:t>Journal of Tourism and Hospitality, 37</w:t>
      </w:r>
      <w:r>
        <w:rPr>
          <w:rFonts w:ascii="Bahnschrift" w:eastAsia="Century" w:hAnsi="Bahnschrift" w:cs="Century"/>
          <w:color w:val="000000" w:themeColor="text1"/>
        </w:rPr>
        <w:t>(2), 107–119.</w:t>
      </w:r>
    </w:p>
    <w:p w14:paraId="6AE0CA5D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4CC03C42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Cruz, M. R. (2022). Exploring compliance gaps in small hospitality establishments. </w:t>
      </w:r>
      <w:r>
        <w:rPr>
          <w:rFonts w:ascii="Bahnschrift" w:eastAsia="Century" w:hAnsi="Bahnschrift" w:cs="Century"/>
          <w:i/>
          <w:iCs/>
          <w:color w:val="000000" w:themeColor="text1"/>
        </w:rPr>
        <w:t>International Journal of Hospitality and Tourism Management, 40</w:t>
      </w:r>
      <w:r>
        <w:rPr>
          <w:rFonts w:ascii="Bahnschrift" w:eastAsia="Century" w:hAnsi="Bahnschrift" w:cs="Century"/>
          <w:color w:val="000000" w:themeColor="text1"/>
        </w:rPr>
        <w:t>(1), 56–72.</w:t>
      </w:r>
    </w:p>
    <w:p w14:paraId="05D48E2A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465EA119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Department of Labor and Employment. (2019a). </w:t>
      </w:r>
      <w:r>
        <w:rPr>
          <w:rFonts w:ascii="Bahnschrift" w:eastAsia="Century" w:hAnsi="Bahnschrift" w:cs="Century"/>
          <w:i/>
          <w:iCs/>
          <w:color w:val="000000" w:themeColor="text1"/>
        </w:rPr>
        <w:t>Guidelines for occupational safety and health in the hospitality sector.</w:t>
      </w:r>
      <w:r>
        <w:rPr>
          <w:rFonts w:ascii="Bahnschrift" w:eastAsia="Century" w:hAnsi="Bahnschrift" w:cs="Century"/>
          <w:color w:val="000000" w:themeColor="text1"/>
        </w:rPr>
        <w:t xml:space="preserve"> DOLE. </w:t>
      </w:r>
    </w:p>
    <w:p w14:paraId="37570CA1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218C6072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Department of Labor and Employment. (2019b). </w:t>
      </w:r>
      <w:r>
        <w:rPr>
          <w:rFonts w:ascii="Bahnschrift" w:eastAsia="Century" w:hAnsi="Bahnschrift" w:cs="Century"/>
          <w:i/>
          <w:iCs/>
          <w:color w:val="000000" w:themeColor="text1"/>
        </w:rPr>
        <w:t>Republic Act No. 11058: Implementing OSH standards.</w:t>
      </w:r>
      <w:r>
        <w:rPr>
          <w:rFonts w:ascii="Bahnschrift" w:eastAsia="Century" w:hAnsi="Bahnschrift" w:cs="Century"/>
          <w:color w:val="000000" w:themeColor="text1"/>
        </w:rPr>
        <w:t xml:space="preserve"> DOLE. </w:t>
      </w:r>
    </w:p>
    <w:p w14:paraId="215CB4BB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7C8E3010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Department of Tourism. (2025). </w:t>
      </w:r>
      <w:r>
        <w:rPr>
          <w:rFonts w:ascii="Bahnschrift" w:eastAsia="Century" w:hAnsi="Bahnschrift" w:cs="Century"/>
          <w:i/>
          <w:iCs/>
          <w:color w:val="000000" w:themeColor="text1"/>
        </w:rPr>
        <w:t>DOT’s “new normal” hotel guidelines.</w:t>
      </w:r>
      <w:r>
        <w:rPr>
          <w:rFonts w:ascii="Bahnschrift" w:eastAsia="Century" w:hAnsi="Bahnschrift" w:cs="Century"/>
          <w:color w:val="000000" w:themeColor="text1"/>
        </w:rPr>
        <w:t xml:space="preserve"> https://beta.tourism.gov.ph</w:t>
      </w:r>
    </w:p>
    <w:p w14:paraId="75D6D69C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4DF4282A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Garcia, A., &amp; Perez, B. (2022). Improving OSH in Spain’s lodging industry. </w:t>
      </w:r>
      <w:r>
        <w:rPr>
          <w:rFonts w:ascii="Bahnschrift" w:eastAsia="Century" w:hAnsi="Bahnschrift" w:cs="Century"/>
          <w:i/>
          <w:iCs/>
          <w:color w:val="000000" w:themeColor="text1"/>
        </w:rPr>
        <w:t>Journal of Hospitality Safety and Health Management, 15</w:t>
      </w:r>
      <w:r>
        <w:rPr>
          <w:rFonts w:ascii="Bahnschrift" w:eastAsia="Century" w:hAnsi="Bahnschrift" w:cs="Century"/>
          <w:color w:val="000000" w:themeColor="text1"/>
        </w:rPr>
        <w:t>(3), 123–135.</w:t>
      </w:r>
    </w:p>
    <w:p w14:paraId="2AB5B916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188A5511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Horan, K. A., et al. (2021). Aligning occupational psychology with hospitality OSH needs. </w:t>
      </w:r>
      <w:r>
        <w:rPr>
          <w:rFonts w:ascii="Bahnschrift" w:eastAsia="Century" w:hAnsi="Bahnschrift" w:cs="Century"/>
          <w:i/>
          <w:iCs/>
          <w:color w:val="000000" w:themeColor="text1"/>
        </w:rPr>
        <w:t>International Journal of Environmental Research and Public Health, 18</w:t>
      </w:r>
      <w:r>
        <w:rPr>
          <w:rFonts w:ascii="Bahnschrift" w:eastAsia="Century" w:hAnsi="Bahnschrift" w:cs="Century"/>
          <w:color w:val="000000" w:themeColor="text1"/>
        </w:rPr>
        <w:t>(20), 1072.</w:t>
      </w:r>
    </w:p>
    <w:p w14:paraId="0DEE1903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02424589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International </w:t>
      </w:r>
      <w:proofErr w:type="spellStart"/>
      <w:r>
        <w:rPr>
          <w:rFonts w:ascii="Bahnschrift" w:eastAsia="Century" w:hAnsi="Bahnschrift" w:cs="Century"/>
          <w:color w:val="000000" w:themeColor="text1"/>
        </w:rPr>
        <w:t>Labour</w:t>
      </w:r>
      <w:proofErr w:type="spellEnd"/>
      <w:r>
        <w:rPr>
          <w:rFonts w:ascii="Bahnschrift" w:eastAsia="Century" w:hAnsi="Bahnschrift" w:cs="Century"/>
          <w:color w:val="000000" w:themeColor="text1"/>
        </w:rPr>
        <w:t xml:space="preserve"> Organization. (2020). </w:t>
      </w:r>
      <w:r>
        <w:rPr>
          <w:rFonts w:ascii="Bahnschrift" w:eastAsia="Century" w:hAnsi="Bahnschrift" w:cs="Century"/>
          <w:i/>
          <w:iCs/>
          <w:color w:val="000000" w:themeColor="text1"/>
        </w:rPr>
        <w:t>Occupational safety and health management: System guidelines.</w:t>
      </w:r>
      <w:r>
        <w:rPr>
          <w:rFonts w:ascii="Bahnschrift" w:eastAsia="Century" w:hAnsi="Bahnschrift" w:cs="Century"/>
          <w:color w:val="000000" w:themeColor="text1"/>
        </w:rPr>
        <w:t xml:space="preserve"> ILO. https://www.ilo.org</w:t>
      </w:r>
    </w:p>
    <w:p w14:paraId="43724A26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1293622F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International </w:t>
      </w:r>
      <w:proofErr w:type="spellStart"/>
      <w:r>
        <w:rPr>
          <w:rFonts w:ascii="Bahnschrift" w:eastAsia="Century" w:hAnsi="Bahnschrift" w:cs="Century"/>
          <w:color w:val="000000" w:themeColor="text1"/>
        </w:rPr>
        <w:t>Labour</w:t>
      </w:r>
      <w:proofErr w:type="spellEnd"/>
      <w:r>
        <w:rPr>
          <w:rFonts w:ascii="Bahnschrift" w:eastAsia="Century" w:hAnsi="Bahnschrift" w:cs="Century"/>
          <w:color w:val="000000" w:themeColor="text1"/>
        </w:rPr>
        <w:t xml:space="preserve"> Organization. (2021). </w:t>
      </w:r>
      <w:r>
        <w:rPr>
          <w:rFonts w:ascii="Bahnschrift" w:eastAsia="Century" w:hAnsi="Bahnschrift" w:cs="Century"/>
          <w:i/>
          <w:iCs/>
          <w:color w:val="000000" w:themeColor="text1"/>
        </w:rPr>
        <w:t>Occupational safety and health management systems: A tool for continual improvement.</w:t>
      </w:r>
      <w:r>
        <w:rPr>
          <w:rFonts w:ascii="Bahnschrift" w:eastAsia="Century" w:hAnsi="Bahnschrift" w:cs="Century"/>
          <w:color w:val="000000" w:themeColor="text1"/>
        </w:rPr>
        <w:t xml:space="preserve"> https://www.ilo.org</w:t>
      </w:r>
    </w:p>
    <w:p w14:paraId="3B2A6F67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6600A373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Lindner, J. R., &amp; Lindner, N. J. (2024). Measuring perception with Likert-type scales. </w:t>
      </w:r>
      <w:r>
        <w:rPr>
          <w:rFonts w:ascii="Bahnschrift" w:eastAsia="Century" w:hAnsi="Bahnschrift" w:cs="Century"/>
          <w:i/>
          <w:iCs/>
          <w:color w:val="000000" w:themeColor="text1"/>
        </w:rPr>
        <w:t>Advances in Agricultural Development, 5</w:t>
      </w:r>
      <w:r>
        <w:rPr>
          <w:rFonts w:ascii="Bahnschrift" w:eastAsia="Century" w:hAnsi="Bahnschrift" w:cs="Century"/>
          <w:color w:val="000000" w:themeColor="text1"/>
        </w:rPr>
        <w:t>(1), 1–13.</w:t>
      </w:r>
    </w:p>
    <w:p w14:paraId="04F68260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418B553C" w14:textId="110EEF14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lastRenderedPageBreak/>
        <w:t xml:space="preserve">Mendoza et al. (2019). Risk exposure of resort staff in Batangas. </w:t>
      </w:r>
      <w:r>
        <w:rPr>
          <w:rFonts w:ascii="Bahnschrift" w:eastAsia="Century" w:hAnsi="Bahnschrift" w:cs="Century"/>
          <w:i/>
          <w:iCs/>
          <w:color w:val="000000" w:themeColor="text1"/>
        </w:rPr>
        <w:t>Asia Pacific Journal of Education, Arts and Sciences, 6</w:t>
      </w:r>
      <w:r>
        <w:rPr>
          <w:rFonts w:ascii="Bahnschrift" w:eastAsia="Century" w:hAnsi="Bahnschrift" w:cs="Century"/>
          <w:color w:val="000000" w:themeColor="text1"/>
        </w:rPr>
        <w:t>(4), 84–94.</w:t>
      </w:r>
    </w:p>
    <w:p w14:paraId="1951AC33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6D47EC5A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Occupational Safety and Health Center. (2022). </w:t>
      </w:r>
      <w:r>
        <w:rPr>
          <w:rFonts w:ascii="Bahnschrift" w:eastAsia="Century" w:hAnsi="Bahnschrift" w:cs="Century"/>
          <w:i/>
          <w:iCs/>
          <w:color w:val="000000" w:themeColor="text1"/>
        </w:rPr>
        <w:t>Guidelines on workplace safety and health in the Philippines.</w:t>
      </w:r>
      <w:r>
        <w:rPr>
          <w:rFonts w:ascii="Bahnschrift" w:eastAsia="Century" w:hAnsi="Bahnschrift" w:cs="Century"/>
          <w:color w:val="000000" w:themeColor="text1"/>
        </w:rPr>
        <w:t xml:space="preserve"> https://www.oshc.dole.gov.ph</w:t>
      </w:r>
    </w:p>
    <w:p w14:paraId="7B433200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5BE22D33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proofErr w:type="spellStart"/>
      <w:r>
        <w:rPr>
          <w:rFonts w:ascii="Bahnschrift" w:eastAsia="Century" w:hAnsi="Bahnschrift" w:cs="Century"/>
          <w:color w:val="000000" w:themeColor="text1"/>
        </w:rPr>
        <w:t>Pabilando</w:t>
      </w:r>
      <w:proofErr w:type="spellEnd"/>
      <w:r>
        <w:rPr>
          <w:rFonts w:ascii="Bahnschrift" w:eastAsia="Century" w:hAnsi="Bahnschrift" w:cs="Century"/>
          <w:color w:val="000000" w:themeColor="text1"/>
        </w:rPr>
        <w:t xml:space="preserve">, R. S., et al. (2022). Hotel safety procedures during the pandemic in Biliran. </w:t>
      </w:r>
      <w:r>
        <w:rPr>
          <w:rFonts w:ascii="Bahnschrift" w:eastAsia="Century" w:hAnsi="Bahnschrift" w:cs="Century"/>
          <w:i/>
          <w:iCs/>
          <w:color w:val="000000" w:themeColor="text1"/>
        </w:rPr>
        <w:t>American Journal of Open Research, 1</w:t>
      </w:r>
      <w:r>
        <w:rPr>
          <w:rFonts w:ascii="Bahnschrift" w:eastAsia="Century" w:hAnsi="Bahnschrift" w:cs="Century"/>
          <w:color w:val="000000" w:themeColor="text1"/>
        </w:rPr>
        <w:t>(2).</w:t>
      </w:r>
    </w:p>
    <w:p w14:paraId="0EECD978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2F5F7F33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Philippine Statistics Authority. (2022). </w:t>
      </w:r>
      <w:r>
        <w:rPr>
          <w:rFonts w:ascii="Bahnschrift" w:eastAsia="Century" w:hAnsi="Bahnschrift" w:cs="Century"/>
          <w:i/>
          <w:iCs/>
          <w:color w:val="000000" w:themeColor="text1"/>
        </w:rPr>
        <w:t>LABSTAT – Volume 9, Issue 49: Occupational injuries and temporary incapacity cases in hotels and restaurants.</w:t>
      </w:r>
      <w:r>
        <w:rPr>
          <w:rFonts w:ascii="Bahnschrift" w:eastAsia="Century" w:hAnsi="Bahnschrift" w:cs="Century"/>
          <w:color w:val="000000" w:themeColor="text1"/>
        </w:rPr>
        <w:t xml:space="preserve"> https://psa.gov.ph/system/files/lsredsd/vol9_49.pdf</w:t>
      </w:r>
    </w:p>
    <w:p w14:paraId="7D9FA09D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6FE1A61C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Singh, P. (2019). Hazard exposure and safety protocols in hospitality. </w:t>
      </w:r>
      <w:r>
        <w:rPr>
          <w:rFonts w:ascii="Bahnschrift" w:eastAsia="Century" w:hAnsi="Bahnschrift" w:cs="Century"/>
          <w:i/>
          <w:iCs/>
          <w:color w:val="000000" w:themeColor="text1"/>
        </w:rPr>
        <w:t>Journal of Occupational Health, 61</w:t>
      </w:r>
      <w:r>
        <w:rPr>
          <w:rFonts w:ascii="Bahnschrift" w:eastAsia="Century" w:hAnsi="Bahnschrift" w:cs="Century"/>
          <w:color w:val="000000" w:themeColor="text1"/>
        </w:rPr>
        <w:t>(4), 248– 256.</w:t>
      </w:r>
    </w:p>
    <w:p w14:paraId="3EAE82C6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47DBB07C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  <w:r>
        <w:rPr>
          <w:rFonts w:ascii="Bahnschrift" w:eastAsia="Century" w:hAnsi="Bahnschrift" w:cs="Century"/>
          <w:color w:val="000000" w:themeColor="text1"/>
        </w:rPr>
        <w:t xml:space="preserve">Zanin, L. M., et al. (2021). Evolving metrics in food safety culture. </w:t>
      </w:r>
      <w:r>
        <w:rPr>
          <w:rFonts w:ascii="Bahnschrift" w:eastAsia="Century" w:hAnsi="Bahnschrift" w:cs="Century"/>
          <w:i/>
          <w:iCs/>
          <w:color w:val="000000" w:themeColor="text1"/>
        </w:rPr>
        <w:t>Trends in Food Science &amp; Technology, 118,</w:t>
      </w:r>
      <w:r>
        <w:rPr>
          <w:rFonts w:ascii="Bahnschrift" w:eastAsia="Century" w:hAnsi="Bahnschrift" w:cs="Century"/>
          <w:color w:val="000000" w:themeColor="text1"/>
        </w:rPr>
        <w:t xml:space="preserve"> 125– 142.</w:t>
      </w:r>
    </w:p>
    <w:p w14:paraId="520E549F" w14:textId="77777777" w:rsidR="003E2298" w:rsidRDefault="003E2298" w:rsidP="003E2298">
      <w:pPr>
        <w:suppressLineNumbers/>
        <w:spacing w:after="0" w:line="240" w:lineRule="auto"/>
        <w:ind w:left="720" w:hanging="720"/>
        <w:jc w:val="both"/>
        <w:rPr>
          <w:rFonts w:ascii="Bahnschrift" w:eastAsia="Century" w:hAnsi="Bahnschrift" w:cs="Century"/>
          <w:color w:val="000000" w:themeColor="text1"/>
        </w:rPr>
      </w:pPr>
    </w:p>
    <w:p w14:paraId="100607E5" w14:textId="7D0B4CAD" w:rsidR="00BE2113" w:rsidRPr="00727EEC" w:rsidRDefault="003E2298" w:rsidP="00727EEC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>
        <w:rPr>
          <w:rFonts w:ascii="Bahnschrift" w:hAnsi="Bahnschrift"/>
        </w:rPr>
        <w:t xml:space="preserve">Ritchie, B. W., &amp; Jiang, Y. (2021). Risk, crisis and disaster management in hospitality and tourism: a comparative review. </w:t>
      </w:r>
      <w:r>
        <w:rPr>
          <w:rFonts w:ascii="Bahnschrift" w:hAnsi="Bahnschrift"/>
          <w:i/>
          <w:iCs/>
        </w:rPr>
        <w:t>International Journal of Contemporary Hospitality Management, 33</w:t>
      </w:r>
      <w:r>
        <w:rPr>
          <w:rFonts w:ascii="Bahnschrift" w:hAnsi="Bahnschrift"/>
        </w:rPr>
        <w:t xml:space="preserve">(10), 3465–3493. </w:t>
      </w:r>
      <w:r w:rsidRPr="00FB1CE7">
        <w:rPr>
          <w:rFonts w:ascii="Bahnschrift" w:hAnsi="Bahnschrift"/>
        </w:rPr>
        <w:t>https://doi.org/10.1108/IJCHM-12-2020-1480</w:t>
      </w:r>
      <w:r>
        <w:rPr>
          <w:rFonts w:ascii="Bahnschrift" w:hAnsi="Bahnschrift"/>
        </w:rPr>
        <w:t>.</w:t>
      </w:r>
    </w:p>
    <w:sectPr w:rsidR="00BE2113" w:rsidRPr="00727EEC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3336C6" w14:textId="77777777" w:rsidR="0014301D" w:rsidRDefault="0014301D" w:rsidP="00290EE2">
      <w:pPr>
        <w:spacing w:after="0" w:line="240" w:lineRule="auto"/>
      </w:pPr>
      <w:r>
        <w:separator/>
      </w:r>
    </w:p>
  </w:endnote>
  <w:endnote w:type="continuationSeparator" w:id="0">
    <w:p w14:paraId="327F221A" w14:textId="77777777" w:rsidR="0014301D" w:rsidRDefault="0014301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B54E1A" w14:textId="77777777" w:rsidR="0014301D" w:rsidRDefault="0014301D" w:rsidP="00290EE2">
      <w:pPr>
        <w:spacing w:after="0" w:line="240" w:lineRule="auto"/>
      </w:pPr>
      <w:r>
        <w:separator/>
      </w:r>
    </w:p>
  </w:footnote>
  <w:footnote w:type="continuationSeparator" w:id="0">
    <w:p w14:paraId="1EF27B2D" w14:textId="77777777" w:rsidR="0014301D" w:rsidRDefault="0014301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4301D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E2298"/>
    <w:rsid w:val="003F04E4"/>
    <w:rsid w:val="00451A1D"/>
    <w:rsid w:val="005611F8"/>
    <w:rsid w:val="005977AF"/>
    <w:rsid w:val="005C1604"/>
    <w:rsid w:val="005D4E9F"/>
    <w:rsid w:val="00603552"/>
    <w:rsid w:val="00623E52"/>
    <w:rsid w:val="00623E9B"/>
    <w:rsid w:val="00640E62"/>
    <w:rsid w:val="00671F20"/>
    <w:rsid w:val="006E4072"/>
    <w:rsid w:val="00727EEC"/>
    <w:rsid w:val="00755F49"/>
    <w:rsid w:val="007A4C79"/>
    <w:rsid w:val="007C73A2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B1CE7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3E22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24</cp:revision>
  <cp:lastPrinted>2026-02-21T05:03:00Z</cp:lastPrinted>
  <dcterms:created xsi:type="dcterms:W3CDTF">2025-12-03T11:08:00Z</dcterms:created>
  <dcterms:modified xsi:type="dcterms:W3CDTF">2026-03-03T14:16:00Z</dcterms:modified>
</cp:coreProperties>
</file>