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F51ED" w14:textId="77777777" w:rsidR="00807D7A" w:rsidRPr="007D64F2" w:rsidRDefault="00807D7A" w:rsidP="00807D7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7486E0D0" w14:textId="77777777" w:rsidR="00807D7A" w:rsidRDefault="00807D7A" w:rsidP="00807D7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56B8518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Agunos, M., Ramos, E., &amp; Ledesma, K. (2022). Fire safety and emergency preparedness in hospitality academic settings. </w:t>
      </w:r>
      <w:r w:rsidRPr="0095537E">
        <w:rPr>
          <w:rFonts w:ascii="Bahnschrift" w:hAnsi="Bahnschrift"/>
          <w:i/>
          <w:iCs/>
        </w:rPr>
        <w:t>Asian Journal of Hospitality Safety Studies, 3</w:t>
      </w:r>
      <w:r w:rsidRPr="0095537E">
        <w:rPr>
          <w:rFonts w:ascii="Bahnschrift" w:hAnsi="Bahnschrift"/>
        </w:rPr>
        <w:t>(1), 33–48.</w:t>
      </w:r>
    </w:p>
    <w:p w14:paraId="38DDDB8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3BED50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Amin, M., Ismail, W. K. W., Rasid, S. Z. A., &amp; Selemani, R. D. A. (2019). The impact of management commitment on employee safety behavior in the hospitality industry. </w:t>
      </w:r>
      <w:r w:rsidRPr="0095537E">
        <w:rPr>
          <w:rFonts w:ascii="Bahnschrift" w:hAnsi="Bahnschrift"/>
          <w:i/>
          <w:iCs/>
        </w:rPr>
        <w:t>Safety Science, 118</w:t>
      </w:r>
      <w:r w:rsidRPr="0095537E">
        <w:rPr>
          <w:rFonts w:ascii="Bahnschrift" w:hAnsi="Bahnschrift"/>
        </w:rPr>
        <w:t>, 449–456. https://doi.org/10.1016/j.ssci.2019.05.036</w:t>
      </w:r>
    </w:p>
    <w:p w14:paraId="400BE80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D1702C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5537E">
        <w:rPr>
          <w:rFonts w:ascii="Bahnschrift" w:hAnsi="Bahnschrift"/>
        </w:rPr>
        <w:t>Arezes</w:t>
      </w:r>
      <w:proofErr w:type="spellEnd"/>
      <w:r w:rsidRPr="0095537E">
        <w:rPr>
          <w:rFonts w:ascii="Bahnschrift" w:hAnsi="Bahnschrift"/>
        </w:rPr>
        <w:t xml:space="preserve">, P. M., &amp; Miguel, A. S. (2016). Risk perception and safety behavior: A study in occupational environments. </w:t>
      </w:r>
      <w:r w:rsidRPr="0095537E">
        <w:rPr>
          <w:rFonts w:ascii="Bahnschrift" w:hAnsi="Bahnschrift"/>
          <w:i/>
          <w:iCs/>
        </w:rPr>
        <w:t>Safety Science, 90</w:t>
      </w:r>
      <w:r w:rsidRPr="0095537E">
        <w:rPr>
          <w:rFonts w:ascii="Bahnschrift" w:hAnsi="Bahnschrift"/>
        </w:rPr>
        <w:t>, 143–152. https://doi.org/10.1016/j.ssci.2016.07.001</w:t>
      </w:r>
    </w:p>
    <w:p w14:paraId="34C905BA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ED7DD3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Byrnes, J. P., Miller, D. C., &amp; Schafer, W. D. (1999). Gender differences in risk taking: A meta-analysis. </w:t>
      </w:r>
      <w:r w:rsidRPr="0095537E">
        <w:rPr>
          <w:rFonts w:ascii="Bahnschrift" w:hAnsi="Bahnschrift"/>
          <w:i/>
          <w:iCs/>
        </w:rPr>
        <w:t>Psychological Bulletin, 125</w:t>
      </w:r>
      <w:r w:rsidRPr="0095537E">
        <w:rPr>
          <w:rFonts w:ascii="Bahnschrift" w:hAnsi="Bahnschrift"/>
        </w:rPr>
        <w:t>(3), 367–383. https://doi.org/10.1037/0033-2909.125.3.367</w:t>
      </w:r>
    </w:p>
    <w:p w14:paraId="1800C58C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A740AE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Chan, A. P. C., &amp; Hawkins, R. (2018). Application of hazard identification training in improving safety performance. </w:t>
      </w:r>
      <w:r w:rsidRPr="0095537E">
        <w:rPr>
          <w:rFonts w:ascii="Bahnschrift" w:hAnsi="Bahnschrift"/>
          <w:i/>
          <w:iCs/>
        </w:rPr>
        <w:t>Journal of Safety Research, 66</w:t>
      </w:r>
      <w:r w:rsidRPr="0095537E">
        <w:rPr>
          <w:rFonts w:ascii="Bahnschrift" w:hAnsi="Bahnschrift"/>
        </w:rPr>
        <w:t>, 15–24.</w:t>
      </w:r>
    </w:p>
    <w:p w14:paraId="5B695596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05376D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Cheng, C. W., &amp; Chang, C. C. (2019). Barriers to occupational safety implementation in service industries. </w:t>
      </w:r>
      <w:r w:rsidRPr="0095537E">
        <w:rPr>
          <w:rFonts w:ascii="Bahnschrift" w:hAnsi="Bahnschrift"/>
          <w:i/>
          <w:iCs/>
        </w:rPr>
        <w:t>International Journal of Occupational Safety and Ergonomics, 25</w:t>
      </w:r>
      <w:r w:rsidRPr="0095537E">
        <w:rPr>
          <w:rFonts w:ascii="Bahnschrift" w:hAnsi="Bahnschrift"/>
        </w:rPr>
        <w:t>(3), 456–465. https://doi.org/10.1080/10803548.2019.1616203</w:t>
      </w:r>
    </w:p>
    <w:p w14:paraId="2A2C4BEE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69C2B4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Dela Cruz, J., Ramos, E., &amp; Flores, M. (2022). Knowledge, attitudes, and practices on laboratory safety among Filipino students. </w:t>
      </w:r>
      <w:r w:rsidRPr="0095537E">
        <w:rPr>
          <w:rFonts w:ascii="Bahnschrift" w:hAnsi="Bahnschrift"/>
          <w:i/>
          <w:iCs/>
        </w:rPr>
        <w:t>Philippine Journal of Science Education, 10</w:t>
      </w:r>
      <w:r w:rsidRPr="0095537E">
        <w:rPr>
          <w:rFonts w:ascii="Bahnschrift" w:hAnsi="Bahnschrift"/>
        </w:rPr>
        <w:t>(1), 60–75.</w:t>
      </w:r>
    </w:p>
    <w:p w14:paraId="745F33AD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4E6E36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Department of Labor and Employment. (2018). </w:t>
      </w:r>
      <w:r w:rsidRPr="0095537E">
        <w:rPr>
          <w:rFonts w:ascii="Bahnschrift" w:hAnsi="Bahnschrift"/>
          <w:i/>
          <w:iCs/>
        </w:rPr>
        <w:t>Republic Act No. 11058: An act strengthening compliance with occupational safety and health standards and providing penalties for violations thereof.</w:t>
      </w:r>
      <w:r w:rsidRPr="0095537E">
        <w:rPr>
          <w:rFonts w:ascii="Bahnschrift" w:hAnsi="Bahnschrift"/>
        </w:rPr>
        <w:t xml:space="preserve"> https://www.dole.gov.ph</w:t>
      </w:r>
    </w:p>
    <w:p w14:paraId="72E6C0F1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84C7A7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5537E">
        <w:rPr>
          <w:rFonts w:ascii="Bahnschrift" w:hAnsi="Bahnschrift"/>
        </w:rPr>
        <w:t>Estadilla</w:t>
      </w:r>
      <w:proofErr w:type="spellEnd"/>
      <w:r w:rsidRPr="0095537E">
        <w:rPr>
          <w:rFonts w:ascii="Bahnschrift" w:hAnsi="Bahnschrift"/>
        </w:rPr>
        <w:t xml:space="preserve">, M. (2025). Occupational safety and health practices in higher education institutions in Region V. </w:t>
      </w:r>
      <w:r w:rsidRPr="0095537E">
        <w:rPr>
          <w:rFonts w:ascii="Bahnschrift" w:hAnsi="Bahnschrift"/>
          <w:i/>
          <w:iCs/>
        </w:rPr>
        <w:t>Journal of Philippine Higher Education Studies, 12</w:t>
      </w:r>
      <w:r w:rsidRPr="0095537E">
        <w:rPr>
          <w:rFonts w:ascii="Bahnschrift" w:hAnsi="Bahnschrift"/>
        </w:rPr>
        <w:t>(1), 88–104.</w:t>
      </w:r>
    </w:p>
    <w:p w14:paraId="15EC2404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2E78D5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5537E">
        <w:rPr>
          <w:rFonts w:ascii="Bahnschrift" w:hAnsi="Bahnschrift"/>
        </w:rPr>
        <w:t>Focbit</w:t>
      </w:r>
      <w:proofErr w:type="spellEnd"/>
      <w:r w:rsidRPr="0095537E">
        <w:rPr>
          <w:rFonts w:ascii="Bahnschrift" w:hAnsi="Bahnschrift"/>
        </w:rPr>
        <w:t xml:space="preserve">, B. (2025). Occupational safety and health implementation and adherence among accommodation establishments. </w:t>
      </w:r>
      <w:r w:rsidRPr="0095537E">
        <w:rPr>
          <w:rFonts w:ascii="Bahnschrift" w:hAnsi="Bahnschrift"/>
          <w:i/>
          <w:iCs/>
        </w:rPr>
        <w:t>Business Fora: Business and Allied Industries International Journal, 6</w:t>
      </w:r>
      <w:r w:rsidRPr="0095537E">
        <w:rPr>
          <w:rFonts w:ascii="Bahnschrift" w:hAnsi="Bahnschrift"/>
        </w:rPr>
        <w:t>(1). https://doi.org/10.62718/vmca.bf-baiij.6.1.SC-1025-002</w:t>
      </w:r>
    </w:p>
    <w:p w14:paraId="54DE52E0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1E50DC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Garcia, R., &amp; Torres, M. (2021). Safety culture and student compliance in laboratory environments. </w:t>
      </w:r>
      <w:r w:rsidRPr="0095537E">
        <w:rPr>
          <w:rFonts w:ascii="Bahnschrift" w:hAnsi="Bahnschrift"/>
          <w:i/>
          <w:iCs/>
        </w:rPr>
        <w:t>Journal of Educational Safety Research, 5</w:t>
      </w:r>
      <w:r w:rsidRPr="0095537E">
        <w:rPr>
          <w:rFonts w:ascii="Bahnschrift" w:hAnsi="Bahnschrift"/>
        </w:rPr>
        <w:t>(2), 55–68.</w:t>
      </w:r>
    </w:p>
    <w:p w14:paraId="561100EE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5D91C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Hinze, J., Thurman, S., &amp; Wehle, A. (2013). Leading indicators of construction safety performance. </w:t>
      </w:r>
      <w:r w:rsidRPr="0095537E">
        <w:rPr>
          <w:rFonts w:ascii="Bahnschrift" w:hAnsi="Bahnschrift"/>
          <w:i/>
          <w:iCs/>
        </w:rPr>
        <w:t>Safety Science, 51</w:t>
      </w:r>
      <w:r w:rsidRPr="0095537E">
        <w:rPr>
          <w:rFonts w:ascii="Bahnschrift" w:hAnsi="Bahnschrift"/>
        </w:rPr>
        <w:t>(1), 23–28. https://doi.org/10.1016/j.ssci.2012.05.016</w:t>
      </w:r>
    </w:p>
    <w:p w14:paraId="51AEB85D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E3BAA7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Huang, X., &amp; Hinze, J. (2006). Owner’s role in construction safety. </w:t>
      </w:r>
      <w:r w:rsidRPr="0095537E">
        <w:rPr>
          <w:rFonts w:ascii="Bahnschrift" w:hAnsi="Bahnschrift"/>
          <w:i/>
          <w:iCs/>
        </w:rPr>
        <w:t>Journal of Construction Engineering and Management, 132</w:t>
      </w:r>
      <w:r w:rsidRPr="0095537E">
        <w:rPr>
          <w:rFonts w:ascii="Bahnschrift" w:hAnsi="Bahnschrift"/>
        </w:rPr>
        <w:t>(2), 164–173. https://doi.org/10.1061/(ASCE)0733-9364(2006)132:2(164)</w:t>
      </w:r>
    </w:p>
    <w:p w14:paraId="597C5D9A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1FBAFC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lastRenderedPageBreak/>
        <w:t xml:space="preserve">International </w:t>
      </w:r>
      <w:proofErr w:type="spellStart"/>
      <w:r w:rsidRPr="0095537E">
        <w:rPr>
          <w:rFonts w:ascii="Bahnschrift" w:hAnsi="Bahnschrift"/>
        </w:rPr>
        <w:t>Labour</w:t>
      </w:r>
      <w:proofErr w:type="spellEnd"/>
      <w:r w:rsidRPr="0095537E">
        <w:rPr>
          <w:rFonts w:ascii="Bahnschrift" w:hAnsi="Bahnschrift"/>
        </w:rPr>
        <w:t xml:space="preserve"> Organization. (2020). </w:t>
      </w:r>
      <w:r w:rsidRPr="0095537E">
        <w:rPr>
          <w:rFonts w:ascii="Bahnschrift" w:hAnsi="Bahnschrift"/>
          <w:i/>
          <w:iCs/>
        </w:rPr>
        <w:t>Occupational safety and health management systems: A practical guide.</w:t>
      </w:r>
      <w:r w:rsidRPr="0095537E">
        <w:rPr>
          <w:rFonts w:ascii="Bahnschrift" w:hAnsi="Bahnschrift"/>
        </w:rPr>
        <w:t xml:space="preserve"> https://www.ilo.org</w:t>
      </w:r>
    </w:p>
    <w:p w14:paraId="43550773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International </w:t>
      </w:r>
      <w:proofErr w:type="spellStart"/>
      <w:r w:rsidRPr="0095537E">
        <w:rPr>
          <w:rFonts w:ascii="Bahnschrift" w:hAnsi="Bahnschrift"/>
        </w:rPr>
        <w:t>Labour</w:t>
      </w:r>
      <w:proofErr w:type="spellEnd"/>
      <w:r w:rsidRPr="0095537E">
        <w:rPr>
          <w:rFonts w:ascii="Bahnschrift" w:hAnsi="Bahnschrift"/>
        </w:rPr>
        <w:t xml:space="preserve"> Organization. (2021). </w:t>
      </w:r>
      <w:r w:rsidRPr="0095537E">
        <w:rPr>
          <w:rFonts w:ascii="Bahnschrift" w:hAnsi="Bahnschrift"/>
          <w:i/>
          <w:iCs/>
        </w:rPr>
        <w:t xml:space="preserve">Safety and health at the heart of the future of work: Building on 100 years of experience. </w:t>
      </w:r>
      <w:r w:rsidRPr="0095537E">
        <w:rPr>
          <w:rFonts w:ascii="Bahnschrift" w:hAnsi="Bahnschrift"/>
        </w:rPr>
        <w:t>https://www.ilo.org</w:t>
      </w:r>
    </w:p>
    <w:p w14:paraId="300B9F92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F560E1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Lindner, J. R., &amp; Lindner, N. J. (2024). Interpreting Likert-type Scales, Summated Scales, Unidimensional Scales, and Attitudinal Scales: I neither Agree nor Disagree, Likert or Not. </w:t>
      </w:r>
      <w:r w:rsidRPr="0095537E">
        <w:rPr>
          <w:rFonts w:ascii="Bahnschrift" w:hAnsi="Bahnschrift"/>
          <w:i/>
          <w:iCs/>
        </w:rPr>
        <w:t>Advances in Agricultural Development, 5</w:t>
      </w:r>
      <w:r w:rsidRPr="0095537E">
        <w:rPr>
          <w:rFonts w:ascii="Bahnschrift" w:hAnsi="Bahnschrift"/>
        </w:rPr>
        <w:t>(1), 1–13.</w:t>
      </w:r>
    </w:p>
    <w:p w14:paraId="08928477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F06BD8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Lingard, H., &amp; Rowlinson, S. (2005). </w:t>
      </w:r>
      <w:r w:rsidRPr="0095537E">
        <w:rPr>
          <w:rFonts w:ascii="Bahnschrift" w:hAnsi="Bahnschrift"/>
          <w:i/>
          <w:iCs/>
        </w:rPr>
        <w:t>Occupational health and safety in construction project management.</w:t>
      </w:r>
      <w:r w:rsidRPr="0095537E">
        <w:rPr>
          <w:rFonts w:ascii="Bahnschrift" w:hAnsi="Bahnschrift"/>
        </w:rPr>
        <w:t xml:space="preserve"> Spon Press.</w:t>
      </w:r>
    </w:p>
    <w:p w14:paraId="5D663A86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E006AA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Kim, J., &amp; Park, S. (2022). Enhancing safety practice in research laboratories: Effects of structured orientation and supervised training on compliance. </w:t>
      </w:r>
      <w:r w:rsidRPr="0095537E">
        <w:rPr>
          <w:rFonts w:ascii="Bahnschrift" w:hAnsi="Bahnschrift"/>
          <w:i/>
          <w:iCs/>
        </w:rPr>
        <w:t>Journal of Chemical Health &amp; Safety, 29</w:t>
      </w:r>
      <w:r w:rsidRPr="0095537E">
        <w:rPr>
          <w:rFonts w:ascii="Bahnschrift" w:hAnsi="Bahnschrift"/>
        </w:rPr>
        <w:t xml:space="preserve">(1), 45–53. https://doi.org/10.1021/acs.chas.0c00085  </w:t>
      </w:r>
    </w:p>
    <w:p w14:paraId="6E6C7562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E01155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Lopez, R., Martinez, A., &amp; Chen, Y. (2023). Improving laboratory safety compliance through regular drills and supervised practice in educational settings. </w:t>
      </w:r>
      <w:r w:rsidRPr="0095537E">
        <w:rPr>
          <w:rFonts w:ascii="Bahnschrift" w:hAnsi="Bahnschrift"/>
          <w:i/>
          <w:iCs/>
        </w:rPr>
        <w:t>Safety Science, 165</w:t>
      </w:r>
      <w:r w:rsidRPr="0095537E">
        <w:rPr>
          <w:rFonts w:ascii="Bahnschrift" w:hAnsi="Bahnschrift"/>
        </w:rPr>
        <w:t xml:space="preserve">, 106877. https://doi.org/10.1016/j.ssci.2023.106877 </w:t>
      </w:r>
    </w:p>
    <w:p w14:paraId="1C05D6E7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121A6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Mendoza, R., Santos, L., &amp; Villanueva, P. (2019). Compliance with sanitation and hygiene standards among hospitality students in Iloilo. </w:t>
      </w:r>
      <w:r w:rsidRPr="0095537E">
        <w:rPr>
          <w:rFonts w:ascii="Bahnschrift" w:hAnsi="Bahnschrift"/>
          <w:i/>
          <w:iCs/>
        </w:rPr>
        <w:t>Philippine Journal of Hospitality Education, 6</w:t>
      </w:r>
      <w:r w:rsidRPr="0095537E">
        <w:rPr>
          <w:rFonts w:ascii="Bahnschrift" w:hAnsi="Bahnschrift"/>
        </w:rPr>
        <w:t>(1), 45–57.</w:t>
      </w:r>
    </w:p>
    <w:p w14:paraId="7C8BF45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2A021B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Occupational Safety and Health Center. (2020). </w:t>
      </w:r>
      <w:r w:rsidRPr="0095537E">
        <w:rPr>
          <w:rFonts w:ascii="Bahnschrift" w:hAnsi="Bahnschrift"/>
          <w:i/>
          <w:iCs/>
        </w:rPr>
        <w:t>Guidelines on occupational safety and health standards.</w:t>
      </w:r>
      <w:r w:rsidRPr="0095537E">
        <w:rPr>
          <w:rFonts w:ascii="Bahnschrift" w:hAnsi="Bahnschrift"/>
        </w:rPr>
        <w:t xml:space="preserve"> https://oshc.dole.gov.ph</w:t>
      </w:r>
    </w:p>
    <w:p w14:paraId="069F7E62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C02E66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5537E">
        <w:rPr>
          <w:rFonts w:ascii="Bahnschrift" w:hAnsi="Bahnschrift"/>
        </w:rPr>
        <w:t>Pabilando</w:t>
      </w:r>
      <w:proofErr w:type="spellEnd"/>
      <w:r w:rsidRPr="0095537E">
        <w:rPr>
          <w:rFonts w:ascii="Bahnschrift" w:hAnsi="Bahnschrift"/>
        </w:rPr>
        <w:t xml:space="preserve">, R., Cruz, A., &amp; dela Cruz, J. (2022). Structured training and monitoring in hospitality laboratories: Effects on OSH adherence. </w:t>
      </w:r>
      <w:r w:rsidRPr="0095537E">
        <w:rPr>
          <w:rFonts w:ascii="Bahnschrift" w:hAnsi="Bahnschrift"/>
          <w:i/>
          <w:iCs/>
        </w:rPr>
        <w:t>Journal of Tourism and Hospitality Education, 9</w:t>
      </w:r>
      <w:r w:rsidRPr="0095537E">
        <w:rPr>
          <w:rFonts w:ascii="Bahnschrift" w:hAnsi="Bahnschrift"/>
        </w:rPr>
        <w:t>(2), 78–92.</w:t>
      </w:r>
    </w:p>
    <w:p w14:paraId="7AC0CCC1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7BEFD0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Santos, L., &amp; Rivera, P. (2023). Simulation-based safety training in technical education: Effects on hazard recognition. </w:t>
      </w:r>
      <w:r w:rsidRPr="0095537E">
        <w:rPr>
          <w:rFonts w:ascii="Bahnschrift" w:hAnsi="Bahnschrift"/>
          <w:i/>
          <w:iCs/>
        </w:rPr>
        <w:t>Asian Journal of Technical Education, 4</w:t>
      </w:r>
      <w:r w:rsidRPr="0095537E">
        <w:rPr>
          <w:rFonts w:ascii="Bahnschrift" w:hAnsi="Bahnschrift"/>
        </w:rPr>
        <w:t>(1), 22–39.</w:t>
      </w:r>
    </w:p>
    <w:p w14:paraId="1AABE764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D89F39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Singh, R. (2019). Occupational safety and hygiene compliance in the hospitality industry: A review. </w:t>
      </w:r>
      <w:r w:rsidRPr="0095537E">
        <w:rPr>
          <w:rFonts w:ascii="Bahnschrift" w:hAnsi="Bahnschrift"/>
          <w:i/>
          <w:iCs/>
        </w:rPr>
        <w:t>International Journal of Hospitality Management, 77</w:t>
      </w:r>
      <w:r w:rsidRPr="0095537E">
        <w:rPr>
          <w:rFonts w:ascii="Bahnschrift" w:hAnsi="Bahnschrift"/>
        </w:rPr>
        <w:t>, 123–131. https://doi.org/10.1016/j.ijhm.2018.06.012</w:t>
      </w:r>
    </w:p>
    <w:p w14:paraId="44613AE1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1C962A" w14:textId="77777777" w:rsidR="00807D7A" w:rsidRPr="0095537E" w:rsidRDefault="00807D7A" w:rsidP="00807D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537E">
        <w:rPr>
          <w:rFonts w:ascii="Bahnschrift" w:hAnsi="Bahnschrift"/>
        </w:rPr>
        <w:t xml:space="preserve">Zaid, A. A., Jaaron, A. A. M., &amp; Bon, A. T. (2020). The impact of safety management practices on safety performance in the hospitality industry. </w:t>
      </w:r>
      <w:r w:rsidRPr="0095537E">
        <w:rPr>
          <w:rFonts w:ascii="Bahnschrift" w:hAnsi="Bahnschrift"/>
          <w:i/>
          <w:iCs/>
        </w:rPr>
        <w:t>Journal of Safety Research, 73</w:t>
      </w:r>
      <w:r w:rsidRPr="0095537E">
        <w:rPr>
          <w:rFonts w:ascii="Bahnschrift" w:hAnsi="Bahnschrift"/>
        </w:rPr>
        <w:t xml:space="preserve">, 33–44. </w:t>
      </w:r>
      <w:hyperlink r:id="rId7" w:history="1">
        <w:r w:rsidRPr="0095537E">
          <w:rPr>
            <w:rStyle w:val="Hyperlink"/>
            <w:rFonts w:ascii="Bahnschrift" w:hAnsi="Bahnschrift"/>
            <w:color w:val="auto"/>
          </w:rPr>
          <w:t>https://doi.org/10.1016/j.jsr.2020.02.002</w:t>
        </w:r>
      </w:hyperlink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E7496" w14:textId="77777777" w:rsidR="007954E2" w:rsidRDefault="007954E2" w:rsidP="00290EE2">
      <w:pPr>
        <w:spacing w:after="0" w:line="240" w:lineRule="auto"/>
      </w:pPr>
      <w:r>
        <w:separator/>
      </w:r>
    </w:p>
  </w:endnote>
  <w:endnote w:type="continuationSeparator" w:id="0">
    <w:p w14:paraId="7CD46D03" w14:textId="77777777" w:rsidR="007954E2" w:rsidRDefault="007954E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AF1B3" w14:textId="77777777" w:rsidR="007954E2" w:rsidRDefault="007954E2" w:rsidP="00290EE2">
      <w:pPr>
        <w:spacing w:after="0" w:line="240" w:lineRule="auto"/>
      </w:pPr>
      <w:r>
        <w:separator/>
      </w:r>
    </w:p>
  </w:footnote>
  <w:footnote w:type="continuationSeparator" w:id="0">
    <w:p w14:paraId="36E7C50F" w14:textId="77777777" w:rsidR="007954E2" w:rsidRDefault="007954E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71F20"/>
    <w:rsid w:val="0068556F"/>
    <w:rsid w:val="00755F49"/>
    <w:rsid w:val="0076121C"/>
    <w:rsid w:val="007954E2"/>
    <w:rsid w:val="007A4C79"/>
    <w:rsid w:val="007E1A12"/>
    <w:rsid w:val="00805D1B"/>
    <w:rsid w:val="00807D7A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9C10F4"/>
    <w:rsid w:val="00A21F23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D7A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807D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jsr.2020.02.0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2026-04-06T01:28:00Z</dcterms:modified>
</cp:coreProperties>
</file>