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3DD77" w14:textId="77777777" w:rsidR="00AC3109" w:rsidRPr="004C2F1A" w:rsidRDefault="00AC3109" w:rsidP="00AC310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4C2F1A">
        <w:rPr>
          <w:rFonts w:ascii="Arial Rounded MT Bold" w:hAnsi="Arial Rounded MT Bold"/>
          <w:b/>
          <w:bCs/>
        </w:rPr>
        <w:t>REFERENCES</w:t>
      </w:r>
    </w:p>
    <w:p w14:paraId="7AC4015B" w14:textId="77777777" w:rsidR="00AC3109" w:rsidRPr="004C2F1A" w:rsidRDefault="00AC3109" w:rsidP="00AC3109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</w:p>
    <w:p w14:paraId="4C750C2D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Amann, J., Blasimme, A., Vayena, E., Frey, D., &amp; Madai, V. I. (2020). Explainability for artificial intelligence in healthcare: A multidisciplinary perspective. </w:t>
      </w:r>
      <w:r w:rsidRPr="004C2F1A">
        <w:rPr>
          <w:rFonts w:ascii="Bahnschrift" w:hAnsi="Bahnschrift"/>
          <w:i/>
          <w:iCs/>
        </w:rPr>
        <w:t>BMC Medical Informatics and Decision Making, 20</w:t>
      </w:r>
      <w:r w:rsidRPr="004C2F1A">
        <w:rPr>
          <w:rFonts w:ascii="Bahnschrift" w:hAnsi="Bahnschrift"/>
        </w:rPr>
        <w:t>(1), 1-9. https://doi.org/10.1186/s12911-020-01332-6</w:t>
      </w:r>
    </w:p>
    <w:p w14:paraId="4160E799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A1BCD6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Bates, D. W., Levine, D. M., Lian, H. G., &amp; Kohane, I. S. (2021). The role of clinical decision support in a digital world. </w:t>
      </w:r>
      <w:r w:rsidRPr="004C2F1A">
        <w:rPr>
          <w:rFonts w:ascii="Bahnschrift" w:hAnsi="Bahnschrift"/>
          <w:i/>
          <w:iCs/>
        </w:rPr>
        <w:t>BMJ Health &amp; Care Informatics, 28</w:t>
      </w:r>
      <w:r w:rsidRPr="004C2F1A">
        <w:rPr>
          <w:rFonts w:ascii="Bahnschrift" w:hAnsi="Bahnschrift"/>
        </w:rPr>
        <w:t>(1), e100318.</w:t>
      </w:r>
    </w:p>
    <w:p w14:paraId="00D638EF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52DE79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Chen, C., Liu, X., Peng, L., &amp; Wu, X. (2020). Rule-based clinical decision support systems in rural healthcare set-tings. </w:t>
      </w:r>
      <w:r w:rsidRPr="004C2F1A">
        <w:rPr>
          <w:rFonts w:ascii="Bahnschrift" w:hAnsi="Bahnschrift"/>
          <w:i/>
          <w:iCs/>
        </w:rPr>
        <w:t>NPJ Digital Medicine, 3</w:t>
      </w:r>
      <w:r w:rsidRPr="004C2F1A">
        <w:rPr>
          <w:rFonts w:ascii="Bahnschrift" w:hAnsi="Bahnschrift"/>
        </w:rPr>
        <w:t>(1), 54-62.</w:t>
      </w:r>
    </w:p>
    <w:p w14:paraId="472DA3E5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F568A9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Dela Cruz, M., Santos, G., &amp; Reyes, J. (2023). Enhancing patient understanding in digital TCM: A pilot study in Metro Manila clinics. </w:t>
      </w:r>
      <w:r w:rsidRPr="004C2F1A">
        <w:rPr>
          <w:rFonts w:ascii="Bahnschrift" w:hAnsi="Bahnschrift"/>
          <w:i/>
          <w:iCs/>
        </w:rPr>
        <w:t>Philippine Journal of Health Research, 12</w:t>
      </w:r>
      <w:r w:rsidRPr="004C2F1A">
        <w:rPr>
          <w:rFonts w:ascii="Bahnschrift" w:hAnsi="Bahnschrift"/>
        </w:rPr>
        <w:t>(2), 45-58.</w:t>
      </w:r>
    </w:p>
    <w:p w14:paraId="2DBD0319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2C988B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Häyrinen, K., Saranto, K., &amp; Nykänen, P. (2022). Definition, structure, content, use and impacts of electronic health records: A review of the research literature. </w:t>
      </w:r>
      <w:r w:rsidRPr="004C2F1A">
        <w:rPr>
          <w:rFonts w:ascii="Bahnschrift" w:hAnsi="Bahnschrift"/>
          <w:i/>
          <w:iCs/>
        </w:rPr>
        <w:t>International Journal of Medical Informatics, 77</w:t>
      </w:r>
      <w:r w:rsidRPr="004C2F1A">
        <w:rPr>
          <w:rFonts w:ascii="Bahnschrift" w:hAnsi="Bahnschrift"/>
        </w:rPr>
        <w:t>(5), 291-304.</w:t>
      </w:r>
    </w:p>
    <w:p w14:paraId="14E4EAC2" w14:textId="77777777" w:rsidR="00AC3109" w:rsidRPr="004C2F1A" w:rsidRDefault="00AC3109" w:rsidP="00AC3109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D0EDB49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Holzinger, A., Carrington, A., &amp; Müller, H. (2021). Comparison of physician acceptance: Rule-based versus deep learning clinical support systems. </w:t>
      </w:r>
      <w:r w:rsidRPr="004C2F1A">
        <w:rPr>
          <w:rFonts w:ascii="Bahnschrift" w:hAnsi="Bahnschrift"/>
          <w:i/>
          <w:iCs/>
        </w:rPr>
        <w:t>Nature Machine Intelligence, 3</w:t>
      </w:r>
      <w:r w:rsidRPr="004C2F1A">
        <w:rPr>
          <w:rFonts w:ascii="Bahnschrift" w:hAnsi="Bahnschrift"/>
        </w:rPr>
        <w:t>(8), 645-652.</w:t>
      </w:r>
    </w:p>
    <w:p w14:paraId="2DFF4BF3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11673E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Holzinger, A., Saranti, A., Molnar, C., Biecek, P., &amp; Samek, W. (2022). The trust gap in traditional medicine AI: Con-sumer perspectives in Southeast Asia. </w:t>
      </w:r>
      <w:r w:rsidRPr="004C2F1A">
        <w:rPr>
          <w:rFonts w:ascii="Bahnschrift" w:hAnsi="Bahnschrift"/>
          <w:i/>
          <w:iCs/>
        </w:rPr>
        <w:t>Nature Machine Intelligence, 4</w:t>
      </w:r>
      <w:r w:rsidRPr="004C2F1A">
        <w:rPr>
          <w:rFonts w:ascii="Bahnschrift" w:hAnsi="Bahnschrift"/>
        </w:rPr>
        <w:t>(2), 112-119.</w:t>
      </w:r>
    </w:p>
    <w:p w14:paraId="54B297AE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71C61A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Johnson, K. B., Wei, W. Q., Weeraratne, D., Frisse, M. E., Misulis, K., Rhee, K., Zhao, J., &amp; Snowdon, J. L. (2021). Pre-cision medicine and the role of rule-based systems in antibiotic stewardship. </w:t>
      </w:r>
      <w:r w:rsidRPr="004C2F1A">
        <w:rPr>
          <w:rFonts w:ascii="Bahnschrift" w:hAnsi="Bahnschrift"/>
          <w:i/>
          <w:iCs/>
        </w:rPr>
        <w:t>International Journal of Medical Informatics, 145</w:t>
      </w:r>
      <w:r w:rsidRPr="004C2F1A">
        <w:rPr>
          <w:rFonts w:ascii="Bahnschrift" w:hAnsi="Bahnschrift"/>
        </w:rPr>
        <w:t>, 104321.</w:t>
      </w:r>
    </w:p>
    <w:p w14:paraId="41C9AFC2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6876EC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Liang, Y., Li, C., &amp; Wang, J. (2022). Challenges in applying collaborative filtering to Traditional Chinese Medicine e-commerce platforms. </w:t>
      </w:r>
      <w:r w:rsidRPr="004C2F1A">
        <w:rPr>
          <w:rFonts w:ascii="Bahnschrift" w:hAnsi="Bahnschrift"/>
          <w:i/>
          <w:iCs/>
        </w:rPr>
        <w:t>Health Informatics Journal, 28</w:t>
      </w:r>
      <w:r w:rsidRPr="004C2F1A">
        <w:rPr>
          <w:rFonts w:ascii="Bahnschrift" w:hAnsi="Bahnschrift"/>
        </w:rPr>
        <w:t>(1), 1-15. https://doi.org/10.1177/14604582221075531</w:t>
      </w:r>
    </w:p>
    <w:p w14:paraId="4FA72695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7FFCDE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Liu, Y., Wang, X., &amp; Chen, H. (2022). Review of AI-driven medication errors: The importance of deterministic logic in pharmacology. </w:t>
      </w:r>
      <w:r w:rsidRPr="004C2F1A">
        <w:rPr>
          <w:rFonts w:ascii="Bahnschrift" w:hAnsi="Bahnschrift"/>
          <w:i/>
          <w:iCs/>
        </w:rPr>
        <w:t>Clinical Pharmacology &amp; Therapeutics, 111</w:t>
      </w:r>
      <w:r w:rsidRPr="004C2F1A">
        <w:rPr>
          <w:rFonts w:ascii="Bahnschrift" w:hAnsi="Bahnschrift"/>
        </w:rPr>
        <w:t>(3), 567-578.</w:t>
      </w:r>
    </w:p>
    <w:p w14:paraId="7B14A936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AC7147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Reyes, R., &amp; Lim, S. (2020). Digital distrust: Assessing consumer skepticism in the Philippine online TCM mar-ket. </w:t>
      </w:r>
      <w:r w:rsidRPr="004C2F1A">
        <w:rPr>
          <w:rFonts w:ascii="Bahnschrift" w:hAnsi="Bahnschrift"/>
          <w:i/>
          <w:iCs/>
        </w:rPr>
        <w:t>Philippine Journal of Health Research, 9</w:t>
      </w:r>
      <w:r w:rsidRPr="004C2F1A">
        <w:rPr>
          <w:rFonts w:ascii="Bahnschrift" w:hAnsi="Bahnschrift"/>
        </w:rPr>
        <w:t>(1), 16-24.</w:t>
      </w:r>
    </w:p>
    <w:p w14:paraId="0C82A9F5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BEC478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Ricci, F., Rokach, L., &amp; Shapira, B. (2021). </w:t>
      </w:r>
      <w:r w:rsidRPr="004C2F1A">
        <w:rPr>
          <w:rFonts w:ascii="Bahnschrift" w:hAnsi="Bahnschrift"/>
          <w:i/>
          <w:iCs/>
        </w:rPr>
        <w:t>Recommender systems handbook (3rd ed.).</w:t>
      </w:r>
      <w:r w:rsidRPr="004C2F1A">
        <w:rPr>
          <w:rFonts w:ascii="Bahnschrift" w:hAnsi="Bahnschrift"/>
        </w:rPr>
        <w:t xml:space="preserve"> Springer.</w:t>
      </w:r>
    </w:p>
    <w:p w14:paraId="3083E65E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8E5333" w14:textId="173F1F9C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Sutton, R. T., Pincock, D., Baumgart, D. C., Sadowski, D. C., Fedorak, R. N., &amp; Kroeker, K. I. (2020). An overview of clinical decision support systems: Benefits, risks, and strategies for success. </w:t>
      </w:r>
      <w:r w:rsidRPr="004C2F1A">
        <w:rPr>
          <w:rFonts w:ascii="Bahnschrift" w:hAnsi="Bahnschrift"/>
          <w:i/>
          <w:iCs/>
        </w:rPr>
        <w:t>NPJ Digital Medicine, 3</w:t>
      </w:r>
      <w:r w:rsidRPr="004C2F1A">
        <w:rPr>
          <w:rFonts w:ascii="Bahnschrift" w:hAnsi="Bahnschrift"/>
        </w:rPr>
        <w:t>(1), 1-10. https://doi.org/10.1038/s41746-020-0221-y</w:t>
      </w:r>
    </w:p>
    <w:p w14:paraId="631A83DF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lastRenderedPageBreak/>
        <w:t xml:space="preserve">Wagner, S. J., Matek, C., &amp; Schwenke, S. (2020). Software quality standards in medical device software develop-ment: A systematic literature review. </w:t>
      </w:r>
      <w:r w:rsidRPr="004C2F1A">
        <w:rPr>
          <w:rFonts w:ascii="Bahnschrift" w:hAnsi="Bahnschrift"/>
          <w:i/>
          <w:iCs/>
        </w:rPr>
        <w:t>Journal of Software: Evolution and Process, 32</w:t>
      </w:r>
      <w:r w:rsidRPr="004C2F1A">
        <w:rPr>
          <w:rFonts w:ascii="Bahnschrift" w:hAnsi="Bahnschrift"/>
        </w:rPr>
        <w:t>(3), e2212.</w:t>
      </w:r>
    </w:p>
    <w:p w14:paraId="0B41F2A2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05E48C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Wong, H., Zhang, L., &amp; Chen, Y. (2023). Hybrid systems for herbal formula selection: Balancing transparency and accuracy. </w:t>
      </w:r>
      <w:r w:rsidRPr="004C2F1A">
        <w:rPr>
          <w:rFonts w:ascii="Bahnschrift" w:hAnsi="Bahnschrift"/>
          <w:i/>
          <w:iCs/>
        </w:rPr>
        <w:t>Artificial Intelligence in Medicine, 136</w:t>
      </w:r>
      <w:r w:rsidRPr="004C2F1A">
        <w:rPr>
          <w:rFonts w:ascii="Bahnschrift" w:hAnsi="Bahnschrift"/>
        </w:rPr>
        <w:t>, 102482.</w:t>
      </w:r>
    </w:p>
    <w:p w14:paraId="091DDBCE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861493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Wright, A., Sittig, D. F., Ash, J. S., Feblowitz, J., Meltzer, S., McMullen, C., Guappone, K., Carpenter, J., Richardson, J., Simonaitis, L., Evans, R. S., Nichol, W. P., &amp; Middleton, B. (2021). Rule-based alerts and the reduction of prescription errors in multi-hospital settings. </w:t>
      </w:r>
      <w:r w:rsidRPr="004C2F1A">
        <w:rPr>
          <w:rFonts w:ascii="Bahnschrift" w:hAnsi="Bahnschrift"/>
          <w:i/>
          <w:iCs/>
        </w:rPr>
        <w:t>Journal of the American Medical Informatics Association, 28</w:t>
      </w:r>
      <w:r w:rsidRPr="004C2F1A">
        <w:rPr>
          <w:rFonts w:ascii="Bahnschrift" w:hAnsi="Bahnschrift"/>
        </w:rPr>
        <w:t>(5), 941-950.</w:t>
      </w:r>
    </w:p>
    <w:p w14:paraId="07D021B9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AA7346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Ye, J., Zhang, Q., &amp; Liu, Y. (2022). The impact of personalized guidance on patient adherence in traditional medi-cine. </w:t>
      </w:r>
      <w:r w:rsidRPr="004C2F1A">
        <w:rPr>
          <w:rFonts w:ascii="Bahnschrift" w:hAnsi="Bahnschrift"/>
          <w:i/>
          <w:iCs/>
        </w:rPr>
        <w:t>Journal of Holistic Healthcare Research, 14</w:t>
      </w:r>
      <w:r w:rsidRPr="004C2F1A">
        <w:rPr>
          <w:rFonts w:ascii="Bahnschrift" w:hAnsi="Bahnschrift"/>
        </w:rPr>
        <w:t>(2), 201-215.</w:t>
      </w:r>
    </w:p>
    <w:p w14:paraId="64151FB1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6DAC49" w14:textId="77777777" w:rsidR="00AC3109" w:rsidRPr="004C2F1A" w:rsidRDefault="00AC3109" w:rsidP="00AC3109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C2F1A">
        <w:rPr>
          <w:rFonts w:ascii="Bahnschrift" w:hAnsi="Bahnschrift"/>
        </w:rPr>
        <w:t xml:space="preserve">Zhang, Y., Liu, X., Chen, W., &amp; Wang, K. (2022). Adaptation of rule-based systems for TCM diagnosis and pattern differentiation. </w:t>
      </w:r>
      <w:r w:rsidRPr="004C2F1A">
        <w:rPr>
          <w:rFonts w:ascii="Bahnschrift" w:hAnsi="Bahnschrift"/>
          <w:i/>
          <w:iCs/>
        </w:rPr>
        <w:t>Journal of Ethnopharmacology, 285</w:t>
      </w:r>
      <w:r w:rsidRPr="004C2F1A">
        <w:rPr>
          <w:rFonts w:ascii="Bahnschrift" w:hAnsi="Bahnschrift"/>
        </w:rPr>
        <w:t>, 114821.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1E72C" w14:textId="77777777" w:rsidR="00865F23" w:rsidRDefault="00865F23" w:rsidP="00290EE2">
      <w:pPr>
        <w:spacing w:after="0" w:line="240" w:lineRule="auto"/>
      </w:pPr>
      <w:r>
        <w:separator/>
      </w:r>
    </w:p>
  </w:endnote>
  <w:endnote w:type="continuationSeparator" w:id="0">
    <w:p w14:paraId="7038B5FC" w14:textId="77777777" w:rsidR="00865F23" w:rsidRDefault="00865F2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9FC45" w14:textId="77777777" w:rsidR="00865F23" w:rsidRDefault="00865F23" w:rsidP="00290EE2">
      <w:pPr>
        <w:spacing w:after="0" w:line="240" w:lineRule="auto"/>
      </w:pPr>
      <w:r>
        <w:separator/>
      </w:r>
    </w:p>
  </w:footnote>
  <w:footnote w:type="continuationSeparator" w:id="0">
    <w:p w14:paraId="355A7824" w14:textId="77777777" w:rsidR="00865F23" w:rsidRDefault="00865F2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30A"/>
    <w:rsid w:val="002D3698"/>
    <w:rsid w:val="00330D2C"/>
    <w:rsid w:val="00370561"/>
    <w:rsid w:val="00376F42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5F23"/>
    <w:rsid w:val="00866E71"/>
    <w:rsid w:val="008B0FD5"/>
    <w:rsid w:val="008E0D92"/>
    <w:rsid w:val="008F2867"/>
    <w:rsid w:val="009518D7"/>
    <w:rsid w:val="0095714A"/>
    <w:rsid w:val="00991E5A"/>
    <w:rsid w:val="009C0634"/>
    <w:rsid w:val="00A403B4"/>
    <w:rsid w:val="00A949FE"/>
    <w:rsid w:val="00AC3109"/>
    <w:rsid w:val="00AE2C6C"/>
    <w:rsid w:val="00AE75F0"/>
    <w:rsid w:val="00B517BC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3109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30</cp:revision>
  <cp:lastPrinted>2026-02-21T05:03:00Z</cp:lastPrinted>
  <dcterms:created xsi:type="dcterms:W3CDTF">2025-12-03T11:08:00Z</dcterms:created>
  <dcterms:modified xsi:type="dcterms:W3CDTF">2026-04-07T06:31:00Z</dcterms:modified>
</cp:coreProperties>
</file>