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416E1A06" w:rsidR="0060051C" w:rsidRPr="00793007" w:rsidRDefault="00156F8E" w:rsidP="00CB3233">
      <w:pPr>
        <w:spacing w:line="240" w:lineRule="auto"/>
        <w:contextualSpacing/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6F838090">
            <wp:simplePos x="0" y="0"/>
            <wp:positionH relativeFrom="margin">
              <wp:posOffset>67945</wp:posOffset>
            </wp:positionH>
            <wp:positionV relativeFrom="paragraph">
              <wp:posOffset>-75565</wp:posOffset>
            </wp:positionV>
            <wp:extent cx="560832" cy="223935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" cy="22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7159D642">
                <wp:simplePos x="0" y="0"/>
                <wp:positionH relativeFrom="margin">
                  <wp:posOffset>-88900</wp:posOffset>
                </wp:positionH>
                <wp:positionV relativeFrom="paragraph">
                  <wp:posOffset>-631190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7F1A49" w14:textId="77777777" w:rsidR="00357E44" w:rsidRDefault="00357E44" w:rsidP="00357E44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2A204846" w14:textId="4B64D60C" w:rsidR="00357E44" w:rsidRDefault="00357E44" w:rsidP="00357E44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202</w:t>
                            </w:r>
                            <w:r w:rsidR="00CB6520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, Vol. 7, No.1, 1 – </w:t>
                            </w:r>
                            <w:r w:rsidR="00BE55D7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</w:t>
                            </w:r>
                            <w:r w:rsidR="001817F0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3817288" w14:textId="740BCDEE" w:rsidR="00357E44" w:rsidRPr="00082035" w:rsidRDefault="00357E44" w:rsidP="00357E44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 w:rsidR="007E16EE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.SC-0925-003</w:t>
                            </w:r>
                          </w:p>
                          <w:p w14:paraId="3982D26F" w14:textId="0D145149" w:rsidR="00AF31B1" w:rsidRPr="00082035" w:rsidRDefault="00AF31B1" w:rsidP="00AF31B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margin-left:-7pt;margin-top:-49.7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" fillcolor="white [3201]" stroked="f" strokeweight="1pt">
                <v:textbox>
                  <w:txbxContent>
                    <w:p w14:paraId="5F7F1A49" w14:textId="77777777" w:rsidR="00357E44" w:rsidRDefault="00357E44" w:rsidP="00357E44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2A204846" w14:textId="4B64D60C" w:rsidR="00357E44" w:rsidRDefault="00357E44" w:rsidP="00357E44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202</w:t>
                      </w:r>
                      <w:r w:rsidR="00CB6520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, Vol. 7, No.1, 1 – </w:t>
                      </w:r>
                      <w:r w:rsidR="00BE55D7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</w:t>
                      </w:r>
                      <w:r w:rsidR="001817F0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3817288" w14:textId="740BCDEE" w:rsidR="00357E44" w:rsidRPr="00082035" w:rsidRDefault="00357E44" w:rsidP="00357E44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 w:rsidR="007E16EE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.SC-0925-003</w:t>
                      </w:r>
                    </w:p>
                    <w:p w14:paraId="3982D26F" w14:textId="0D145149" w:rsidR="00AF31B1" w:rsidRPr="00082035" w:rsidRDefault="00AF31B1" w:rsidP="00AF31B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5E2091" w:rsidRPr="00D11940" w14:paraId="799BDE8D" w14:textId="77777777" w:rsidTr="005E2091">
        <w:trPr>
          <w:trHeight w:val="245"/>
        </w:trPr>
        <w:tc>
          <w:tcPr>
            <w:tcW w:w="10060" w:type="dxa"/>
            <w:vAlign w:val="center"/>
          </w:tcPr>
          <w:p w14:paraId="05234917" w14:textId="50C16A32" w:rsidR="005E2091" w:rsidRPr="003B2BAD" w:rsidRDefault="005E2091" w:rsidP="002A7AEE">
            <w:pPr>
              <w:contextualSpacing/>
              <w:jc w:val="both"/>
              <w:rPr>
                <w:rFonts w:ascii="Arial Rounded MT Bold" w:hAnsi="Arial Rounded MT Bold" w:cs="Times New Roman"/>
                <w:b/>
                <w:bCs/>
                <w:sz w:val="24"/>
                <w:szCs w:val="24"/>
              </w:rPr>
            </w:pPr>
            <w:r w:rsidRPr="00156F8E">
              <w:rPr>
                <w:rFonts w:ascii="Arial Rounded MT Bold" w:hAnsi="Arial Rounded MT Bold"/>
                <w:b/>
                <w:sz w:val="24"/>
                <w:szCs w:val="24"/>
              </w:rPr>
              <w:t xml:space="preserve">The Current Situation of Calligraphy Education at Qi </w:t>
            </w:r>
            <w:proofErr w:type="spellStart"/>
            <w:r w:rsidRPr="00156F8E">
              <w:rPr>
                <w:rFonts w:ascii="Arial Rounded MT Bold" w:hAnsi="Arial Rounded MT Bold"/>
                <w:b/>
                <w:sz w:val="24"/>
                <w:szCs w:val="24"/>
              </w:rPr>
              <w:t>Baishi</w:t>
            </w:r>
            <w:proofErr w:type="spellEnd"/>
            <w:r w:rsidRPr="00156F8E">
              <w:rPr>
                <w:rFonts w:ascii="Arial Rounded MT Bold" w:hAnsi="Arial Rounded MT Bold"/>
                <w:b/>
                <w:sz w:val="24"/>
                <w:szCs w:val="24"/>
              </w:rPr>
              <w:t xml:space="preserve"> Art College of Hunan University of Science and Technology</w:t>
            </w: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BE55D7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7152FAAC" w14:textId="77777777" w:rsidR="005E2091" w:rsidRDefault="005E2091" w:rsidP="00203256">
      <w:pPr>
        <w:spacing w:after="0" w:line="240" w:lineRule="auto"/>
        <w:contextualSpacing/>
        <w:jc w:val="both"/>
        <w:rPr>
          <w:rFonts w:ascii="Arial Rounded MT Bold" w:hAnsi="Arial Rounded MT Bold"/>
          <w:b/>
          <w:bCs/>
          <w:lang w:val="en-US"/>
        </w:rPr>
      </w:pPr>
    </w:p>
    <w:p w14:paraId="258BC387" w14:textId="79D1666A" w:rsidR="00203256" w:rsidRPr="00785CB1" w:rsidRDefault="002C5A89" w:rsidP="00203256">
      <w:pPr>
        <w:spacing w:after="0" w:line="240" w:lineRule="auto"/>
        <w:contextualSpacing/>
        <w:jc w:val="both"/>
        <w:rPr>
          <w:rFonts w:ascii="Arial Rounded MT Bold" w:hAnsi="Arial Rounded MT Bold"/>
          <w:b/>
          <w:bCs/>
          <w:lang w:val="en-US"/>
        </w:rPr>
      </w:pPr>
      <w:r w:rsidRPr="00785CB1">
        <w:rPr>
          <w:rFonts w:ascii="Arial Rounded MT Bold" w:hAnsi="Arial Rounded MT Bold"/>
          <w:b/>
          <w:bCs/>
          <w:lang w:val="en-US"/>
        </w:rPr>
        <w:t>REFERENCES</w:t>
      </w:r>
    </w:p>
    <w:p w14:paraId="7DD8C7FD" w14:textId="77777777" w:rsidR="00203256" w:rsidRPr="00676F59" w:rsidRDefault="00203256" w:rsidP="00203256">
      <w:pPr>
        <w:spacing w:after="0" w:line="240" w:lineRule="auto"/>
        <w:contextualSpacing/>
        <w:jc w:val="both"/>
        <w:rPr>
          <w:rFonts w:ascii="Bahnschrift" w:hAnsi="Bahnschrift"/>
          <w:lang w:val="en-US"/>
        </w:rPr>
      </w:pPr>
    </w:p>
    <w:p w14:paraId="007D2CBA" w14:textId="77777777" w:rsidR="00203256" w:rsidRPr="00676F5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  <w:r w:rsidRPr="00676F59">
        <w:rPr>
          <w:rFonts w:ascii="Bahnschrift" w:hAnsi="Bahnschrift"/>
          <w:color w:val="000000" w:themeColor="text1"/>
        </w:rPr>
        <w:t xml:space="preserve">Cao, F. (2021). The impacts of handwriting and typing training on reading and writing skills: Evidence from Chinese. </w:t>
      </w:r>
      <w:r w:rsidRPr="002C5A89">
        <w:rPr>
          <w:rStyle w:val="Emphasis"/>
          <w:rFonts w:ascii="Bahnschrift" w:hAnsi="Bahnschrift"/>
        </w:rPr>
        <w:t>International Journal of Educational Research, 105,</w:t>
      </w:r>
      <w:r w:rsidRPr="00676F59">
        <w:rPr>
          <w:rFonts w:ascii="Bahnschrift" w:hAnsi="Bahnschrift"/>
          <w:color w:val="000000" w:themeColor="text1"/>
        </w:rPr>
        <w:t xml:space="preserve"> 101700. https://doi.org/10.1016/j.ijer.2020.101700</w:t>
      </w:r>
    </w:p>
    <w:p w14:paraId="5D2979C4" w14:textId="77777777" w:rsidR="00203256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</w:p>
    <w:p w14:paraId="1B3135C3" w14:textId="77777777" w:rsidR="00203256" w:rsidRPr="00676F5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  <w:r w:rsidRPr="00676F59">
        <w:rPr>
          <w:rFonts w:ascii="Bahnschrift" w:hAnsi="Bahnschrift"/>
          <w:color w:val="000000" w:themeColor="text1"/>
        </w:rPr>
        <w:t xml:space="preserve">Cazan, A.-M., &amp; </w:t>
      </w:r>
      <w:proofErr w:type="spellStart"/>
      <w:r w:rsidRPr="00676F59">
        <w:rPr>
          <w:rFonts w:ascii="Bahnschrift" w:hAnsi="Bahnschrift"/>
          <w:color w:val="000000" w:themeColor="text1"/>
        </w:rPr>
        <w:t>Schiopca</w:t>
      </w:r>
      <w:proofErr w:type="spellEnd"/>
      <w:r w:rsidRPr="00676F59">
        <w:rPr>
          <w:rFonts w:ascii="Bahnschrift" w:hAnsi="Bahnschrift"/>
          <w:color w:val="000000" w:themeColor="text1"/>
        </w:rPr>
        <w:t xml:space="preserve">, B.-A. (2014). Self-directed learning, </w:t>
      </w:r>
      <w:r w:rsidRPr="00D104A1">
        <w:rPr>
          <w:rFonts w:ascii="Bahnschrift" w:hAnsi="Bahnschrift"/>
        </w:rPr>
        <w:t xml:space="preserve">personality traits and academic achievement. </w:t>
      </w:r>
      <w:r w:rsidRPr="00D104A1">
        <w:rPr>
          <w:rStyle w:val="Emphasis"/>
          <w:rFonts w:ascii="Bahnschrift" w:hAnsi="Bahnschrift"/>
        </w:rPr>
        <w:t>Procedia – Social and Behavioral Sciences, 127,</w:t>
      </w:r>
      <w:r w:rsidRPr="00D104A1">
        <w:rPr>
          <w:rFonts w:ascii="Bahnschrift" w:hAnsi="Bahnschrift"/>
        </w:rPr>
        <w:t xml:space="preserve"> </w:t>
      </w:r>
      <w:r w:rsidRPr="00676F59">
        <w:rPr>
          <w:rFonts w:ascii="Bahnschrift" w:hAnsi="Bahnschrift"/>
          <w:color w:val="000000" w:themeColor="text1"/>
        </w:rPr>
        <w:t>640–644. https://doi.org/10.1016/j.sbspro.2014.03.327</w:t>
      </w:r>
    </w:p>
    <w:p w14:paraId="49E84BD0" w14:textId="77777777" w:rsidR="00203256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</w:p>
    <w:p w14:paraId="6FB13976" w14:textId="77777777" w:rsidR="00203256" w:rsidRPr="00676F5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  <w:r w:rsidRPr="00676F59">
        <w:rPr>
          <w:rFonts w:ascii="Bahnschrift" w:hAnsi="Bahnschrift"/>
          <w:color w:val="000000" w:themeColor="text1"/>
        </w:rPr>
        <w:t xml:space="preserve">Chen, Z. W. </w:t>
      </w:r>
      <w:r w:rsidRPr="002C5A89">
        <w:rPr>
          <w:rFonts w:ascii="Bahnschrift" w:hAnsi="Bahnschrift"/>
        </w:rPr>
        <w:t xml:space="preserve">(2025). </w:t>
      </w:r>
      <w:r w:rsidRPr="00676F59">
        <w:rPr>
          <w:rFonts w:ascii="Bahnschrift" w:hAnsi="Bahnschrift"/>
          <w:color w:val="000000" w:themeColor="text1"/>
        </w:rPr>
        <w:t xml:space="preserve">The influence of calligraphy art on interested calligraphy learners. </w:t>
      </w:r>
      <w:r w:rsidRPr="00676F59">
        <w:rPr>
          <w:rStyle w:val="Emphasis"/>
          <w:rFonts w:ascii="Bahnschrift" w:hAnsi="Bahnschrift"/>
          <w:color w:val="000000" w:themeColor="text1"/>
        </w:rPr>
        <w:t>Frontiers in Art Research, 7</w:t>
      </w:r>
      <w:r w:rsidRPr="00676F59">
        <w:rPr>
          <w:rFonts w:ascii="Bahnschrift" w:hAnsi="Bahnschrift"/>
          <w:color w:val="000000" w:themeColor="text1"/>
        </w:rPr>
        <w:t xml:space="preserve">(2), 58–63. </w:t>
      </w:r>
      <w:r w:rsidRPr="00E417E1">
        <w:rPr>
          <w:rFonts w:ascii="Bahnschrift" w:hAnsi="Bahnschrift"/>
          <w:color w:val="000000" w:themeColor="text1"/>
          <w:sz w:val="20"/>
          <w:szCs w:val="20"/>
        </w:rPr>
        <w:t>https://doi.org/10.25236/FAR.2025.070209</w:t>
      </w:r>
    </w:p>
    <w:p w14:paraId="7CF647F8" w14:textId="77777777" w:rsidR="00203256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</w:p>
    <w:p w14:paraId="0F33E8B6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Chun, J., </w:t>
      </w:r>
      <w:proofErr w:type="spellStart"/>
      <w:r w:rsidRPr="002C5A89">
        <w:rPr>
          <w:rFonts w:ascii="Bahnschrift" w:hAnsi="Bahnschrift"/>
        </w:rPr>
        <w:t>Ponathong</w:t>
      </w:r>
      <w:proofErr w:type="spellEnd"/>
      <w:r w:rsidRPr="002C5A89">
        <w:rPr>
          <w:rFonts w:ascii="Bahnschrift" w:hAnsi="Bahnschrift"/>
        </w:rPr>
        <w:t xml:space="preserve">, C., &amp; </w:t>
      </w:r>
      <w:proofErr w:type="spellStart"/>
      <w:r w:rsidRPr="002C5A89">
        <w:rPr>
          <w:rFonts w:ascii="Bahnschrift" w:hAnsi="Bahnschrift"/>
        </w:rPr>
        <w:t>Bamroongkhan</w:t>
      </w:r>
      <w:proofErr w:type="spellEnd"/>
      <w:r w:rsidRPr="002C5A89">
        <w:rPr>
          <w:rFonts w:ascii="Bahnschrift" w:hAnsi="Bahnschrift"/>
        </w:rPr>
        <w:t xml:space="preserve">, P. (2025). </w:t>
      </w:r>
      <w:r w:rsidRPr="002C5A89">
        <w:rPr>
          <w:rFonts w:ascii="Bahnschrift" w:hAnsi="Bahnschrift"/>
          <w:i/>
          <w:iCs/>
        </w:rPr>
        <w:t>Guidelines for promoting positive attitudes to preserve Chinese calligraphy among higher education students at Shandong in China.</w:t>
      </w:r>
    </w:p>
    <w:p w14:paraId="55734C15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433AA3C9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Elman, B. A. (2000). </w:t>
      </w:r>
      <w:r w:rsidRPr="002C5A89">
        <w:rPr>
          <w:rStyle w:val="Emphasis"/>
          <w:rFonts w:ascii="Bahnschrift" w:hAnsi="Bahnschrift"/>
        </w:rPr>
        <w:t>A cultural history of civil examinations in late imperial China</w:t>
      </w:r>
      <w:r w:rsidRPr="002C5A89">
        <w:rPr>
          <w:rFonts w:ascii="Bahnschrift" w:hAnsi="Bahnschrift"/>
        </w:rPr>
        <w:t>. University of California Press.</w:t>
      </w:r>
    </w:p>
    <w:p w14:paraId="3BAA2DE9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0AB01FF6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Fu, W. (2024). Analysis of Chinese higher calligraphy education in the context of big data era. </w:t>
      </w:r>
      <w:r w:rsidRPr="002C5A89">
        <w:rPr>
          <w:rStyle w:val="Emphasis"/>
          <w:rFonts w:ascii="Bahnschrift" w:hAnsi="Bahnschrift"/>
        </w:rPr>
        <w:t>Applied Mathematics and Nonlinear Sciences, 9</w:t>
      </w:r>
      <w:r w:rsidRPr="002C5A89">
        <w:rPr>
          <w:rFonts w:ascii="Bahnschrift" w:hAnsi="Bahnschrift"/>
        </w:rPr>
        <w:t>(1). https://doi.org/10.2478/amns-2024-0860</w:t>
      </w:r>
    </w:p>
    <w:p w14:paraId="21C6CB74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Style w:val="Strong"/>
          <w:rFonts w:ascii="Bahnschrift" w:hAnsi="Bahnschrift"/>
          <w:b w:val="0"/>
          <w:bCs w:val="0"/>
        </w:rPr>
      </w:pPr>
    </w:p>
    <w:p w14:paraId="6277E5A0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Style w:val="Strong"/>
          <w:rFonts w:ascii="Bahnschrift" w:hAnsi="Bahnschrift"/>
          <w:b w:val="0"/>
          <w:bCs w:val="0"/>
        </w:rPr>
        <w:t xml:space="preserve">Gao, F., &amp; </w:t>
      </w:r>
      <w:proofErr w:type="spellStart"/>
      <w:r w:rsidRPr="002C5A89">
        <w:rPr>
          <w:rStyle w:val="Strong"/>
          <w:rFonts w:ascii="Bahnschrift" w:hAnsi="Bahnschrift"/>
          <w:b w:val="0"/>
          <w:bCs w:val="0"/>
        </w:rPr>
        <w:t>Khiatthong</w:t>
      </w:r>
      <w:proofErr w:type="spellEnd"/>
      <w:r w:rsidRPr="002C5A89">
        <w:rPr>
          <w:rStyle w:val="Strong"/>
          <w:rFonts w:ascii="Bahnschrift" w:hAnsi="Bahnschrift"/>
          <w:b w:val="0"/>
          <w:bCs w:val="0"/>
        </w:rPr>
        <w:t>, T.</w:t>
      </w:r>
      <w:r w:rsidRPr="002C5A89">
        <w:rPr>
          <w:rFonts w:ascii="Bahnschrift" w:hAnsi="Bahnschrift"/>
        </w:rPr>
        <w:t xml:space="preserve"> (2024). Development of calligraphy education models in Hunan, the Qing Dynasty style, the People’s Republic of China. </w:t>
      </w:r>
      <w:r w:rsidRPr="002C5A89">
        <w:rPr>
          <w:rStyle w:val="Emphasis"/>
          <w:rFonts w:ascii="Bahnschrift" w:hAnsi="Bahnschrift"/>
        </w:rPr>
        <w:t xml:space="preserve">Journal of Southwest </w:t>
      </w:r>
      <w:proofErr w:type="spellStart"/>
      <w:r w:rsidRPr="002C5A89">
        <w:rPr>
          <w:rStyle w:val="Emphasis"/>
          <w:rFonts w:ascii="Bahnschrift" w:hAnsi="Bahnschrift"/>
        </w:rPr>
        <w:t>Jiaotong</w:t>
      </w:r>
      <w:proofErr w:type="spellEnd"/>
      <w:r w:rsidRPr="002C5A89">
        <w:rPr>
          <w:rStyle w:val="Emphasis"/>
          <w:rFonts w:ascii="Bahnschrift" w:hAnsi="Bahnschrift"/>
        </w:rPr>
        <w:t xml:space="preserve"> University</w:t>
      </w:r>
      <w:r w:rsidRPr="002C5A89">
        <w:rPr>
          <w:rFonts w:ascii="Bahnschrift" w:hAnsi="Bahnschrift"/>
        </w:rPr>
        <w:t>, 59(4). https://doi.org/10.35741/issn.0258-2724.59.4.13</w:t>
      </w:r>
    </w:p>
    <w:p w14:paraId="2CB105B7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1E35081D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Gong, X., Tao, W., &amp; Ma, Y. (2025). </w:t>
      </w:r>
      <w:proofErr w:type="spellStart"/>
      <w:r w:rsidRPr="002C5A89">
        <w:rPr>
          <w:rStyle w:val="Emphasis"/>
          <w:rFonts w:ascii="Bahnschrift" w:hAnsi="Bahnschrift"/>
        </w:rPr>
        <w:t>CalliSense</w:t>
      </w:r>
      <w:proofErr w:type="spellEnd"/>
      <w:r w:rsidRPr="002C5A89">
        <w:rPr>
          <w:rStyle w:val="Emphasis"/>
          <w:rFonts w:ascii="Bahnschrift" w:hAnsi="Bahnschrift"/>
        </w:rPr>
        <w:t>: An interactive educational tool for process-based learning in Chinese calligraphy</w:t>
      </w:r>
      <w:r w:rsidRPr="002C5A89">
        <w:rPr>
          <w:rFonts w:ascii="Bahnschrift" w:hAnsi="Bahnschrift"/>
        </w:rPr>
        <w:t xml:space="preserve">. </w:t>
      </w:r>
      <w:proofErr w:type="spellStart"/>
      <w:r w:rsidRPr="002C5A89">
        <w:rPr>
          <w:rFonts w:ascii="Bahnschrift" w:hAnsi="Bahnschrift"/>
        </w:rPr>
        <w:t>arXiv</w:t>
      </w:r>
      <w:proofErr w:type="spellEnd"/>
      <w:r w:rsidRPr="002C5A89">
        <w:rPr>
          <w:rFonts w:ascii="Bahnschrift" w:hAnsi="Bahnschrift"/>
        </w:rPr>
        <w:t xml:space="preserve">. https://doi.org/10.48550/arXiv.2502.15883 </w:t>
      </w:r>
    </w:p>
    <w:p w14:paraId="7384F0B6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4E136E74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Hung, R. (2022). </w:t>
      </w:r>
      <w:r w:rsidRPr="002C5A89">
        <w:rPr>
          <w:rStyle w:val="Emphasis"/>
          <w:rFonts w:ascii="Bahnschrift" w:hAnsi="Bahnschrift"/>
        </w:rPr>
        <w:t>Self-cultivation through the art of calligraphy: From past to the future</w:t>
      </w:r>
      <w:r w:rsidRPr="002C5A89">
        <w:rPr>
          <w:rFonts w:ascii="Bahnschrift" w:hAnsi="Bahnschrift"/>
        </w:rPr>
        <w:t xml:space="preserve">. </w:t>
      </w:r>
      <w:r w:rsidRPr="002C5A89">
        <w:rPr>
          <w:rStyle w:val="Strong"/>
          <w:rFonts w:ascii="Bahnschrift" w:hAnsi="Bahnschrift"/>
          <w:b w:val="0"/>
          <w:bCs w:val="0"/>
        </w:rPr>
        <w:t>Beijing International Review of Education</w:t>
      </w:r>
      <w:r w:rsidRPr="002C5A89">
        <w:rPr>
          <w:rFonts w:ascii="Bahnschrift" w:hAnsi="Bahnschrift"/>
        </w:rPr>
        <w:t xml:space="preserve">, </w:t>
      </w:r>
      <w:r w:rsidRPr="002C5A89">
        <w:rPr>
          <w:rStyle w:val="Emphasis"/>
          <w:rFonts w:ascii="Bahnschrift" w:hAnsi="Bahnschrift"/>
        </w:rPr>
        <w:t>4</w:t>
      </w:r>
      <w:r w:rsidRPr="002C5A89">
        <w:rPr>
          <w:rFonts w:ascii="Bahnschrift" w:hAnsi="Bahnschrift"/>
        </w:rPr>
        <w:t>(3). Online publication date: November 14, 2022.</w:t>
      </w:r>
    </w:p>
    <w:p w14:paraId="5A812730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27C94E7B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Junco, R. (2012). The relationship between frequency of Facebook use, participation in Facebook activities, and student engagement. </w:t>
      </w:r>
      <w:r w:rsidRPr="002C5A89">
        <w:rPr>
          <w:rStyle w:val="Emphasis"/>
          <w:rFonts w:ascii="Bahnschrift" w:hAnsi="Bahnschrift"/>
        </w:rPr>
        <w:t>Computers &amp; Education, 58</w:t>
      </w:r>
      <w:r w:rsidRPr="002C5A89">
        <w:rPr>
          <w:rFonts w:ascii="Bahnschrift" w:hAnsi="Bahnschrift"/>
        </w:rPr>
        <w:t>(1), 162–171. https://doi.org/10.1016/j.compedu.2011.08.004</w:t>
      </w:r>
    </w:p>
    <w:p w14:paraId="70D489B1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24B3304E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Li, Y. (2023). </w:t>
      </w:r>
      <w:r w:rsidRPr="002C5A89">
        <w:rPr>
          <w:rStyle w:val="Emphasis"/>
          <w:rFonts w:ascii="Bahnschrift" w:hAnsi="Bahnschrift"/>
        </w:rPr>
        <w:t>Exploration of calligraphy education among university students in Shanxi Province of China</w:t>
      </w:r>
      <w:r w:rsidRPr="002C5A89">
        <w:rPr>
          <w:rFonts w:ascii="Bahnschrift" w:hAnsi="Bahnschrift"/>
        </w:rPr>
        <w:t xml:space="preserve">. </w:t>
      </w:r>
      <w:r w:rsidRPr="002C5A89">
        <w:rPr>
          <w:rStyle w:val="Emphasis"/>
          <w:rFonts w:ascii="Bahnschrift" w:hAnsi="Bahnschrift"/>
        </w:rPr>
        <w:t>Frontiers in Educational Research, 6</w:t>
      </w:r>
      <w:r w:rsidRPr="002C5A89">
        <w:rPr>
          <w:rFonts w:ascii="Bahnschrift" w:hAnsi="Bahnschrift"/>
        </w:rPr>
        <w:t>(21), 176–192. https://doi.org/10.25236/FER.2023.062129</w:t>
      </w:r>
    </w:p>
    <w:p w14:paraId="0950F47C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Style w:val="Strong"/>
          <w:rFonts w:ascii="Bahnschrift" w:hAnsi="Bahnschrift"/>
          <w:b w:val="0"/>
          <w:bCs w:val="0"/>
        </w:rPr>
      </w:pPr>
    </w:p>
    <w:p w14:paraId="01BFEBDA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Style w:val="Strong"/>
          <w:rFonts w:ascii="Bahnschrift" w:hAnsi="Bahnschrift"/>
          <w:b w:val="0"/>
          <w:bCs w:val="0"/>
        </w:rPr>
        <w:t>Li, L.</w:t>
      </w:r>
      <w:r w:rsidRPr="002C5A89">
        <w:rPr>
          <w:rFonts w:ascii="Bahnschrift" w:hAnsi="Bahnschrift"/>
        </w:rPr>
        <w:t xml:space="preserve"> (2024). Innovative practice and traditional continuation of calligraphy art in the digital age. </w:t>
      </w:r>
      <w:r w:rsidRPr="002C5A89">
        <w:rPr>
          <w:rStyle w:val="Emphasis"/>
          <w:rFonts w:ascii="Bahnschrift" w:hAnsi="Bahnschrift"/>
        </w:rPr>
        <w:t>Academic Journal of Humanities &amp; Social Sciences, 7</w:t>
      </w:r>
      <w:r w:rsidRPr="002C5A89">
        <w:rPr>
          <w:rFonts w:ascii="Bahnschrift" w:hAnsi="Bahnschrift"/>
        </w:rPr>
        <w:t>(11), 147–152. https://doi.org/10.25236/AJHSS.2024.071122</w:t>
      </w:r>
    </w:p>
    <w:p w14:paraId="3AC7C384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6C78CF65" w14:textId="55A4E19D" w:rsidR="00203256" w:rsidRPr="002C5A89" w:rsidRDefault="00203256" w:rsidP="00E417E1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lastRenderedPageBreak/>
        <w:t>Martín-</w:t>
      </w:r>
      <w:proofErr w:type="spellStart"/>
      <w:r w:rsidRPr="002C5A89">
        <w:rPr>
          <w:rFonts w:ascii="Bahnschrift" w:hAnsi="Bahnschrift"/>
        </w:rPr>
        <w:t>Borràs</w:t>
      </w:r>
      <w:proofErr w:type="spellEnd"/>
      <w:r w:rsidRPr="002C5A89">
        <w:rPr>
          <w:rFonts w:ascii="Bahnschrift" w:hAnsi="Bahnschrift"/>
        </w:rPr>
        <w:t xml:space="preserve">, C., &amp; Paredes, D. (2021). Variability of higher education students’ learning styles depending on gender, course, degree and institutional context. </w:t>
      </w:r>
      <w:r w:rsidRPr="002C5A89">
        <w:rPr>
          <w:rStyle w:val="Emphasis"/>
          <w:rFonts w:ascii="Bahnschrift" w:hAnsi="Bahnschrift"/>
        </w:rPr>
        <w:t>Sustainability, 13</w:t>
      </w:r>
      <w:r w:rsidRPr="002C5A89">
        <w:rPr>
          <w:rFonts w:ascii="Bahnschrift" w:hAnsi="Bahnschrift"/>
        </w:rPr>
        <w:t>(4), 1659. https://doi.org/10.3390/su13041659</w:t>
      </w:r>
    </w:p>
    <w:p w14:paraId="7C08ED4D" w14:textId="77777777" w:rsidR="005E2091" w:rsidRDefault="005E2091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71B93812" w14:textId="1767969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Ministry of Education of the People’s Republic of China. (2011). </w:t>
      </w:r>
      <w:r w:rsidRPr="002C5A89">
        <w:rPr>
          <w:rStyle w:val="Emphasis"/>
          <w:rFonts w:ascii="Bahnschrift" w:hAnsi="Bahnschrift"/>
        </w:rPr>
        <w:t>Curriculum standards for calligraphy education in primary and secondary schools</w:t>
      </w:r>
      <w:r w:rsidRPr="002C5A89">
        <w:rPr>
          <w:rFonts w:ascii="Bahnschrift" w:hAnsi="Bahnschrift"/>
        </w:rPr>
        <w:t>.</w:t>
      </w:r>
      <w:r w:rsidRPr="002C5A89">
        <w:rPr>
          <w:rFonts w:ascii="Bahnschrift" w:hAnsi="Bahnschrift"/>
        </w:rPr>
        <w:br/>
        <w:t>http://www.moe.gov.cn/</w:t>
      </w:r>
    </w:p>
    <w:p w14:paraId="69A8F768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53A143D9" w14:textId="006CB586" w:rsidR="006A33E1" w:rsidRPr="002C5A89" w:rsidRDefault="006A33E1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Pradhan, S. (2020). Enhancing knowledge transfer. In N. B. Dohn, L. </w:t>
      </w:r>
      <w:proofErr w:type="spellStart"/>
      <w:r w:rsidRPr="002C5A89">
        <w:rPr>
          <w:rFonts w:ascii="Bahnschrift" w:hAnsi="Bahnschrift"/>
        </w:rPr>
        <w:t>Markauskaite</w:t>
      </w:r>
      <w:proofErr w:type="spellEnd"/>
      <w:r w:rsidRPr="002C5A89">
        <w:rPr>
          <w:rFonts w:ascii="Bahnschrift" w:hAnsi="Bahnschrift"/>
        </w:rPr>
        <w:t>, &amp; R. Hachmann (Eds.), Handbook of research in educational communications and technology (pp. 73–96). Springer. https://doi.org/10.1007/978-3-030-36119-8_5</w:t>
      </w:r>
    </w:p>
    <w:p w14:paraId="6E733915" w14:textId="77777777" w:rsidR="006A33E1" w:rsidRPr="002C5A89" w:rsidRDefault="006A33E1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2284E24" w14:textId="6CB4C840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Selwyn, N. (2016). </w:t>
      </w:r>
      <w:r w:rsidRPr="002C5A89">
        <w:rPr>
          <w:rStyle w:val="Emphasis"/>
          <w:rFonts w:ascii="Bahnschrift" w:hAnsi="Bahnschrift"/>
        </w:rPr>
        <w:t>Education and technology: Key issues and debates</w:t>
      </w:r>
      <w:r w:rsidRPr="002C5A89">
        <w:rPr>
          <w:rFonts w:ascii="Bahnschrift" w:hAnsi="Bahnschrift"/>
        </w:rPr>
        <w:t xml:space="preserve"> (2nd ed.). Bloomsbury Academic.</w:t>
      </w:r>
    </w:p>
    <w:p w14:paraId="2F4A6A22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54D676E3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Sullivan, M. (1996). </w:t>
      </w:r>
      <w:r w:rsidRPr="002C5A89">
        <w:rPr>
          <w:rStyle w:val="Emphasis"/>
          <w:rFonts w:ascii="Bahnschrift" w:hAnsi="Bahnschrift"/>
        </w:rPr>
        <w:t>Art and artists of twentieth-century China</w:t>
      </w:r>
      <w:r w:rsidRPr="002C5A89">
        <w:rPr>
          <w:rFonts w:ascii="Bahnschrift" w:hAnsi="Bahnschrift"/>
        </w:rPr>
        <w:t xml:space="preserve">. University of California Press. </w:t>
      </w:r>
    </w:p>
    <w:p w14:paraId="429BC8D1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6D73D868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Sun, X., Fu, R., Zhang, G., &amp; Chen, C. (2022). Effects of multimedia integrated fine arts education on students’ learning attitude and learning satisfaction. </w:t>
      </w:r>
      <w:r w:rsidRPr="002C5A89">
        <w:rPr>
          <w:rStyle w:val="Emphasis"/>
          <w:rFonts w:ascii="Bahnschrift" w:hAnsi="Bahnschrift"/>
        </w:rPr>
        <w:t>Frontiers in Psychology, 13,</w:t>
      </w:r>
      <w:r w:rsidRPr="002C5A89">
        <w:rPr>
          <w:rFonts w:ascii="Bahnschrift" w:hAnsi="Bahnschrift"/>
        </w:rPr>
        <w:t xml:space="preserve"> 907468. https://doi.org/10.3389/fpsyg.2022.907468</w:t>
      </w:r>
    </w:p>
    <w:p w14:paraId="10420FDC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51672AFC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2C5A89">
        <w:rPr>
          <w:rFonts w:ascii="Bahnschrift" w:hAnsi="Bahnschrift" w:cs="Arial"/>
          <w:shd w:val="clear" w:color="auto" w:fill="FFFFFF"/>
        </w:rPr>
        <w:t>Tan, L. H., Xu, M., Chang, C. Q., &amp; Siok, W. T. (2013). China’s language input system in the digital age affects children’s reading development. </w:t>
      </w:r>
      <w:r w:rsidRPr="002C5A89">
        <w:rPr>
          <w:rFonts w:ascii="Bahnschrift" w:hAnsi="Bahnschrift" w:cs="Arial"/>
          <w:i/>
          <w:iCs/>
          <w:shd w:val="clear" w:color="auto" w:fill="FFFFFF"/>
        </w:rPr>
        <w:t>Proceedings of the National Academy of Sciences</w:t>
      </w:r>
      <w:r w:rsidRPr="002C5A89">
        <w:rPr>
          <w:rFonts w:ascii="Bahnschrift" w:hAnsi="Bahnschrift" w:cs="Arial"/>
          <w:shd w:val="clear" w:color="auto" w:fill="FFFFFF"/>
        </w:rPr>
        <w:t>, </w:t>
      </w:r>
      <w:r w:rsidRPr="002C5A89">
        <w:rPr>
          <w:rFonts w:ascii="Bahnschrift" w:hAnsi="Bahnschrift" w:cs="Arial"/>
          <w:i/>
          <w:iCs/>
          <w:shd w:val="clear" w:color="auto" w:fill="FFFFFF"/>
        </w:rPr>
        <w:t>110</w:t>
      </w:r>
      <w:r w:rsidRPr="002C5A89">
        <w:rPr>
          <w:rFonts w:ascii="Bahnschrift" w:hAnsi="Bahnschrift" w:cs="Arial"/>
          <w:shd w:val="clear" w:color="auto" w:fill="FFFFFF"/>
        </w:rPr>
        <w:t>(3), 1119-1123.</w:t>
      </w:r>
    </w:p>
    <w:p w14:paraId="4851A360" w14:textId="77777777" w:rsidR="00785CB1" w:rsidRPr="002C5A89" w:rsidRDefault="00785CB1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75BAB44C" w14:textId="304705B1" w:rsidR="006A33E1" w:rsidRPr="002C5A89" w:rsidRDefault="006A33E1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proofErr w:type="spellStart"/>
      <w:r w:rsidRPr="002C5A89">
        <w:rPr>
          <w:rFonts w:ascii="Bahnschrift" w:hAnsi="Bahnschrift"/>
        </w:rPr>
        <w:t>Timotheou</w:t>
      </w:r>
      <w:proofErr w:type="spellEnd"/>
      <w:r w:rsidRPr="002C5A89">
        <w:rPr>
          <w:rFonts w:ascii="Bahnschrift" w:hAnsi="Bahnschrift"/>
        </w:rPr>
        <w:t xml:space="preserve">, S., </w:t>
      </w:r>
      <w:proofErr w:type="spellStart"/>
      <w:r w:rsidRPr="002C5A89">
        <w:rPr>
          <w:rFonts w:ascii="Bahnschrift" w:hAnsi="Bahnschrift"/>
        </w:rPr>
        <w:t>Miliou</w:t>
      </w:r>
      <w:proofErr w:type="spellEnd"/>
      <w:r w:rsidRPr="002C5A89">
        <w:rPr>
          <w:rFonts w:ascii="Bahnschrift" w:hAnsi="Bahnschrift"/>
        </w:rPr>
        <w:t xml:space="preserve">, O., Dimitriadis, Y., </w:t>
      </w:r>
      <w:proofErr w:type="spellStart"/>
      <w:r w:rsidRPr="002C5A89">
        <w:rPr>
          <w:rFonts w:ascii="Bahnschrift" w:hAnsi="Bahnschrift"/>
        </w:rPr>
        <w:t>Villagrá</w:t>
      </w:r>
      <w:proofErr w:type="spellEnd"/>
      <w:r w:rsidRPr="002C5A89">
        <w:rPr>
          <w:rFonts w:ascii="Bahnschrift" w:hAnsi="Bahnschrift"/>
        </w:rPr>
        <w:t xml:space="preserve"> Sobrino, S., Giannoutsou, N., Cachia, R., Martínez Monés, A., &amp; Ioannou, A. (2022). Impacts of digital technologies on education and factors influencing schools’ digital capacity and transformation: A literature review. </w:t>
      </w:r>
      <w:r w:rsidRPr="009227A3">
        <w:rPr>
          <w:rFonts w:ascii="Bahnschrift" w:hAnsi="Bahnschrift"/>
          <w:i/>
          <w:iCs/>
        </w:rPr>
        <w:t>Education and Information Technologies, 28</w:t>
      </w:r>
      <w:r w:rsidRPr="002C5A89">
        <w:rPr>
          <w:rFonts w:ascii="Bahnschrift" w:hAnsi="Bahnschrift"/>
        </w:rPr>
        <w:t>(6), 6695–6726. https://doi.org/10.1007/s10639-022-11431-8</w:t>
      </w:r>
    </w:p>
    <w:p w14:paraId="21892717" w14:textId="77777777" w:rsidR="006A33E1" w:rsidRPr="002C5A89" w:rsidRDefault="006A33E1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7DE8EAFF" w14:textId="46BC7E9A" w:rsidR="00203256" w:rsidRPr="009227A3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Style w:val="Emphasis"/>
          <w:rFonts w:ascii="Bahnschrift" w:hAnsi="Bahnschrift"/>
          <w:i w:val="0"/>
          <w:iCs w:val="0"/>
        </w:rPr>
      </w:pPr>
      <w:r w:rsidRPr="002C5A89">
        <w:rPr>
          <w:rFonts w:ascii="Bahnschrift" w:hAnsi="Bahnschrift"/>
        </w:rPr>
        <w:t xml:space="preserve">Tomlinson, C. A. (2014). </w:t>
      </w:r>
      <w:r w:rsidRPr="009227A3">
        <w:rPr>
          <w:rFonts w:ascii="Bahnschrift" w:hAnsi="Bahnschrift"/>
          <w:i/>
          <w:iCs/>
        </w:rPr>
        <w:t>The differentiated classroom: Responding to the needs of all learners</w:t>
      </w:r>
      <w:r w:rsidRPr="002C5A89">
        <w:rPr>
          <w:rFonts w:ascii="Bahnschrift" w:hAnsi="Bahnschrift"/>
        </w:rPr>
        <w:t xml:space="preserve"> </w:t>
      </w:r>
      <w:r w:rsidRPr="009227A3">
        <w:rPr>
          <w:rFonts w:ascii="Bahnschrift" w:hAnsi="Bahnschrift"/>
          <w:i/>
          <w:iCs/>
        </w:rPr>
        <w:t>(2nd ed.).</w:t>
      </w:r>
      <w:r w:rsidRPr="002C5A89">
        <w:rPr>
          <w:rFonts w:ascii="Bahnschrift" w:hAnsi="Bahnschrift"/>
        </w:rPr>
        <w:t xml:space="preserve"> </w:t>
      </w:r>
      <w:r w:rsidRPr="009227A3">
        <w:rPr>
          <w:rStyle w:val="Emphasis"/>
          <w:rFonts w:ascii="Bahnschrift" w:hAnsi="Bahnschrift"/>
          <w:i w:val="0"/>
          <w:iCs w:val="0"/>
        </w:rPr>
        <w:t>ASCD.</w:t>
      </w:r>
    </w:p>
    <w:p w14:paraId="6B8C3697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7D1725BB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Twenge, J. M., &amp; Campbell, W. K. (2018). </w:t>
      </w:r>
      <w:r w:rsidRPr="002C5A89">
        <w:rPr>
          <w:rStyle w:val="Emphasis"/>
          <w:rFonts w:ascii="Bahnschrift" w:hAnsi="Bahnschrift"/>
        </w:rPr>
        <w:t>Associations between screen time and lower psychological well-being among children and adolescents: Evidence from a population-based study</w:t>
      </w:r>
      <w:r w:rsidRPr="002C5A89">
        <w:rPr>
          <w:rFonts w:ascii="Bahnschrift" w:hAnsi="Bahnschrift"/>
        </w:rPr>
        <w:t xml:space="preserve">. </w:t>
      </w:r>
      <w:r w:rsidRPr="002C5A89">
        <w:rPr>
          <w:rStyle w:val="Strong"/>
          <w:rFonts w:ascii="Bahnschrift" w:hAnsi="Bahnschrift"/>
          <w:b w:val="0"/>
          <w:bCs w:val="0"/>
        </w:rPr>
        <w:t>Preventive Medicine Reports, 12, 271–283.</w:t>
      </w:r>
      <w:r w:rsidRPr="002C5A89">
        <w:rPr>
          <w:rFonts w:ascii="Bahnschrift" w:hAnsi="Bahnschrift"/>
        </w:rPr>
        <w:t xml:space="preserve"> https://doi.org/10.1016/j.pmedr.2018.10.003 </w:t>
      </w:r>
    </w:p>
    <w:p w14:paraId="7C0F5FE8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 w:cs="Arial"/>
        </w:rPr>
      </w:pPr>
    </w:p>
    <w:p w14:paraId="74DF338D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2C5A89">
        <w:rPr>
          <w:rFonts w:ascii="Bahnschrift" w:hAnsi="Bahnschrift" w:cs="Arial"/>
        </w:rPr>
        <w:t>Vermeeren</w:t>
      </w:r>
      <w:proofErr w:type="spellEnd"/>
      <w:r w:rsidRPr="002C5A89">
        <w:rPr>
          <w:rFonts w:ascii="Bahnschrift" w:hAnsi="Bahnschrift" w:cs="Arial"/>
        </w:rPr>
        <w:t>, L. (2017). Chinese Calligraphy in the digital realm: Aesthetic perfection and remediation of the authentic. </w:t>
      </w:r>
      <w:r w:rsidRPr="002C5A89">
        <w:rPr>
          <w:rFonts w:ascii="Bahnschrift" w:hAnsi="Bahnschrift" w:cs="Arial"/>
          <w:i/>
          <w:iCs/>
        </w:rPr>
        <w:t>Concentric: Literary and Cultural Studies</w:t>
      </w:r>
      <w:r w:rsidRPr="002C5A89">
        <w:rPr>
          <w:rFonts w:ascii="Bahnschrift" w:hAnsi="Bahnschrift" w:cs="Arial"/>
        </w:rPr>
        <w:t>, </w:t>
      </w:r>
      <w:r w:rsidRPr="002C5A89">
        <w:rPr>
          <w:rFonts w:ascii="Bahnschrift" w:hAnsi="Bahnschrift" w:cs="Arial"/>
          <w:i/>
          <w:iCs/>
        </w:rPr>
        <w:t>43</w:t>
      </w:r>
      <w:r w:rsidRPr="002C5A89">
        <w:rPr>
          <w:rFonts w:ascii="Bahnschrift" w:hAnsi="Bahnschrift" w:cs="Arial"/>
        </w:rPr>
        <w:t>(2), 163-191.</w:t>
      </w:r>
    </w:p>
    <w:p w14:paraId="31C99432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1D471244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Wang, C.-H., Salisbury-Glennon, J. D., Dai, Y., Lee, S., &amp; Dong, J. (2022). Empowering college students to decrease digital distraction through the use of self-regulated learning strategies. </w:t>
      </w:r>
      <w:r w:rsidRPr="002C5A89">
        <w:rPr>
          <w:rStyle w:val="Emphasis"/>
          <w:rFonts w:ascii="Bahnschrift" w:hAnsi="Bahnschrift"/>
        </w:rPr>
        <w:t>Contemporary Educational Technology, 14</w:t>
      </w:r>
      <w:r w:rsidRPr="002C5A89">
        <w:rPr>
          <w:rFonts w:ascii="Bahnschrift" w:hAnsi="Bahnschrift"/>
        </w:rPr>
        <w:t>(4), Article ep388. https://doi.org/10.30935/cedtech/12456</w:t>
      </w:r>
    </w:p>
    <w:p w14:paraId="4A9474D9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3C5380E0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 w:cs="Arial"/>
          <w:shd w:val="clear" w:color="auto" w:fill="FFFFFF"/>
        </w:rPr>
        <w:t>Wang, J., Huang, L., &amp; Zhang, Y. (2025). The important role of higher art education in promoting the sustainable development of aesthetic education in Chinese universities: J. Wang et al. </w:t>
      </w:r>
      <w:r w:rsidRPr="002C5A89">
        <w:rPr>
          <w:rFonts w:ascii="Bahnschrift" w:hAnsi="Bahnschrift" w:cs="Arial"/>
          <w:i/>
          <w:iCs/>
          <w:shd w:val="clear" w:color="auto" w:fill="FFFFFF"/>
        </w:rPr>
        <w:t>Asia Pacific Education Review</w:t>
      </w:r>
      <w:r w:rsidRPr="002C5A89">
        <w:rPr>
          <w:rFonts w:ascii="Bahnschrift" w:hAnsi="Bahnschrift" w:cs="Arial"/>
          <w:shd w:val="clear" w:color="auto" w:fill="FFFFFF"/>
        </w:rPr>
        <w:t>, 1-12.</w:t>
      </w:r>
    </w:p>
    <w:p w14:paraId="6A83D542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5E99348B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lastRenderedPageBreak/>
        <w:t xml:space="preserve">Wang, J., &amp; Tang, K. (2025). Understanding the association of calligraphy activities with flow experience, peace of mind, and self-focused attention among university students. </w:t>
      </w:r>
      <w:r w:rsidRPr="002C5A89">
        <w:rPr>
          <w:rStyle w:val="Emphasis"/>
          <w:rFonts w:ascii="Bahnschrift" w:hAnsi="Bahnschrift"/>
        </w:rPr>
        <w:t>Frontiers in Psychology, 16,</w:t>
      </w:r>
      <w:r w:rsidRPr="002C5A89">
        <w:rPr>
          <w:rFonts w:ascii="Bahnschrift" w:hAnsi="Bahnschrift"/>
        </w:rPr>
        <w:t xml:space="preserve"> 1525503. https://doi.org/10.3389/fpsyg.2025.1525503</w:t>
      </w:r>
    </w:p>
    <w:p w14:paraId="3681A418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26810044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Wang, M. (2025). </w:t>
      </w:r>
      <w:r w:rsidRPr="002C5A89">
        <w:rPr>
          <w:rStyle w:val="Emphasis"/>
          <w:rFonts w:ascii="Bahnschrift" w:hAnsi="Bahnschrift"/>
        </w:rPr>
        <w:t>Innovation calligraphy teaching strategies through multimedia projection technology</w:t>
      </w:r>
      <w:r w:rsidRPr="002C5A89">
        <w:rPr>
          <w:rFonts w:ascii="Bahnschrift" w:hAnsi="Bahnschrift"/>
        </w:rPr>
        <w:t xml:space="preserve">. </w:t>
      </w:r>
      <w:r w:rsidRPr="002C5A89">
        <w:rPr>
          <w:rStyle w:val="Emphasis"/>
          <w:rFonts w:ascii="Bahnschrift" w:hAnsi="Bahnschrift"/>
        </w:rPr>
        <w:t>International Journal of New Developments in Education, 7</w:t>
      </w:r>
      <w:r w:rsidRPr="002C5A89">
        <w:rPr>
          <w:rFonts w:ascii="Bahnschrift" w:hAnsi="Bahnschrift"/>
        </w:rPr>
        <w:t>(7). https://doi.org/10.25236/IJNDE.2025.070702</w:t>
      </w:r>
    </w:p>
    <w:p w14:paraId="6AA4C35C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4DE78773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Xiong, P. (2024). A study of the intersection of traditional calligraphy and digital media art. </w:t>
      </w:r>
      <w:r w:rsidRPr="002C5A89">
        <w:rPr>
          <w:rStyle w:val="Emphasis"/>
          <w:rFonts w:ascii="Bahnschrift" w:hAnsi="Bahnschrift"/>
        </w:rPr>
        <w:t>Applied Mathematics and Nonlinear Sciences, 9</w:t>
      </w:r>
      <w:r w:rsidRPr="002C5A89">
        <w:rPr>
          <w:rFonts w:ascii="Bahnschrift" w:hAnsi="Bahnschrift"/>
        </w:rPr>
        <w:t>(1), 1–18. https://doi.org/10.2478/amns-2024-2148</w:t>
      </w:r>
    </w:p>
    <w:p w14:paraId="46441740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3D3CCF3D" w14:textId="77777777" w:rsidR="00203256" w:rsidRPr="002C5A8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C5A89">
        <w:rPr>
          <w:rFonts w:ascii="Bahnschrift" w:hAnsi="Bahnschrift"/>
        </w:rPr>
        <w:t xml:space="preserve">Zhang, H., &amp; Perfetti, C. A. (2024). Handwriting versus typing: Implications for orthographic learning in Chinese. </w:t>
      </w:r>
      <w:r w:rsidRPr="002C5A89">
        <w:rPr>
          <w:rStyle w:val="Emphasis"/>
          <w:rFonts w:ascii="Bahnschrift" w:hAnsi="Bahnschrift"/>
        </w:rPr>
        <w:t>Reading and Writing, 37</w:t>
      </w:r>
      <w:r w:rsidRPr="002C5A89">
        <w:rPr>
          <w:rFonts w:ascii="Bahnschrift" w:hAnsi="Bahnschrift"/>
        </w:rPr>
        <w:t>(2), 287–305. https://doi.org/10.1007/s11145-024-10531-w</w:t>
      </w:r>
    </w:p>
    <w:p w14:paraId="60E71A98" w14:textId="77777777" w:rsidR="00203256" w:rsidRPr="002C5A89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</w:rPr>
      </w:pPr>
    </w:p>
    <w:p w14:paraId="1CF42558" w14:textId="77777777" w:rsidR="00203256" w:rsidRPr="00676F5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  <w:r w:rsidRPr="002C5A89">
        <w:rPr>
          <w:rFonts w:ascii="Bahnschrift" w:hAnsi="Bahnschrift"/>
        </w:rPr>
        <w:t xml:space="preserve">Zhang, W., &amp; Pang, N. S.-K. (2016). Investigating the structural relationship among teachers’ professional development, </w:t>
      </w:r>
      <w:r w:rsidRPr="00676F59">
        <w:rPr>
          <w:rFonts w:ascii="Bahnschrift" w:hAnsi="Bahnschrift"/>
          <w:color w:val="000000" w:themeColor="text1"/>
        </w:rPr>
        <w:t xml:space="preserve">teaching efficacy, and student learning outcomes. </w:t>
      </w:r>
      <w:r w:rsidRPr="00676F59">
        <w:rPr>
          <w:rStyle w:val="Emphasis"/>
          <w:rFonts w:ascii="Bahnschrift" w:hAnsi="Bahnschrift"/>
          <w:color w:val="000000" w:themeColor="text1"/>
        </w:rPr>
        <w:t>Teaching and Teacher Education, 55,</w:t>
      </w:r>
      <w:r w:rsidRPr="00676F59">
        <w:rPr>
          <w:rFonts w:ascii="Bahnschrift" w:hAnsi="Bahnschrift"/>
          <w:color w:val="000000" w:themeColor="text1"/>
        </w:rPr>
        <w:t xml:space="preserve"> 182–191. https://doi.org/10.1016/j.tate.2016.01.014</w:t>
      </w:r>
    </w:p>
    <w:p w14:paraId="5D495890" w14:textId="77777777" w:rsidR="00203256" w:rsidRDefault="00203256" w:rsidP="00203256">
      <w:pPr>
        <w:tabs>
          <w:tab w:val="left" w:pos="180"/>
        </w:tabs>
        <w:ind w:left="720" w:hanging="720"/>
        <w:contextualSpacing/>
        <w:jc w:val="both"/>
        <w:rPr>
          <w:rStyle w:val="Strong"/>
          <w:rFonts w:ascii="Bahnschrift" w:hAnsi="Bahnschrift"/>
          <w:b w:val="0"/>
          <w:bCs w:val="0"/>
          <w:color w:val="000000" w:themeColor="text1"/>
        </w:rPr>
      </w:pPr>
    </w:p>
    <w:p w14:paraId="61D783F9" w14:textId="77777777" w:rsidR="00203256" w:rsidRPr="00676F59" w:rsidRDefault="00203256" w:rsidP="00203256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  <w:r w:rsidRPr="00676F59">
        <w:rPr>
          <w:rStyle w:val="Strong"/>
          <w:rFonts w:ascii="Bahnschrift" w:hAnsi="Bahnschrift"/>
          <w:b w:val="0"/>
          <w:bCs w:val="0"/>
          <w:color w:val="000000" w:themeColor="text1"/>
        </w:rPr>
        <w:t>Zheng, Y.</w:t>
      </w:r>
      <w:r w:rsidRPr="00676F59">
        <w:rPr>
          <w:rFonts w:ascii="Bahnschrift" w:hAnsi="Bahnschrift"/>
          <w:color w:val="000000" w:themeColor="text1"/>
        </w:rPr>
        <w:t xml:space="preserve"> (2018). The educational value of Chinese calligraphy: Cultivation of morality and mind. </w:t>
      </w:r>
      <w:r w:rsidRPr="00676F59">
        <w:rPr>
          <w:rStyle w:val="Emphasis"/>
          <w:rFonts w:ascii="Bahnschrift" w:hAnsi="Bahnschrift"/>
          <w:color w:val="000000" w:themeColor="text1"/>
        </w:rPr>
        <w:t>Frontiers of Education in China, 13</w:t>
      </w:r>
      <w:r w:rsidRPr="00676F59">
        <w:rPr>
          <w:rFonts w:ascii="Bahnschrift" w:hAnsi="Bahnschrift"/>
          <w:color w:val="000000" w:themeColor="text1"/>
        </w:rPr>
        <w:t>(2), 163–182. https://doi.org/10.1007/s11516-018-0009-7</w:t>
      </w:r>
    </w:p>
    <w:p w14:paraId="23EEC45F" w14:textId="77777777" w:rsidR="00203256" w:rsidRDefault="00203256" w:rsidP="00203256">
      <w:pPr>
        <w:tabs>
          <w:tab w:val="left" w:pos="180"/>
        </w:tabs>
        <w:ind w:left="720" w:hanging="720"/>
        <w:contextualSpacing/>
        <w:jc w:val="both"/>
        <w:rPr>
          <w:rFonts w:ascii="Bahnschrift" w:hAnsi="Bahnschrift"/>
          <w:color w:val="000000" w:themeColor="text1"/>
        </w:rPr>
      </w:pPr>
    </w:p>
    <w:p w14:paraId="35411C99" w14:textId="1B967272" w:rsidR="00A975FC" w:rsidRDefault="00203256" w:rsidP="00476ED4">
      <w:pPr>
        <w:tabs>
          <w:tab w:val="left" w:pos="180"/>
        </w:tabs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203256">
        <w:rPr>
          <w:rStyle w:val="Strong"/>
        </w:rPr>
        <w:t>Zhou</w:t>
      </w:r>
      <w:r w:rsidRPr="00676F59">
        <w:rPr>
          <w:rFonts w:ascii="Bahnschrift" w:hAnsi="Bahnschrift"/>
          <w:color w:val="000000" w:themeColor="text1"/>
        </w:rPr>
        <w:t xml:space="preserve">, M., &amp; Brown, D. (2015). Educational learning theories: 2nd edition. </w:t>
      </w:r>
      <w:r w:rsidRPr="00676F59">
        <w:rPr>
          <w:rStyle w:val="Emphasis"/>
          <w:rFonts w:ascii="Bahnschrift" w:hAnsi="Bahnschrift"/>
          <w:color w:val="000000" w:themeColor="text1"/>
        </w:rPr>
        <w:t>Education Open Textbooks, 1.</w:t>
      </w:r>
      <w:r w:rsidRPr="00676F59">
        <w:rPr>
          <w:rFonts w:ascii="Bahnschrift" w:hAnsi="Bahnschrift"/>
          <w:color w:val="000000" w:themeColor="text1"/>
        </w:rPr>
        <w:t xml:space="preserve"> University of Georgia Press. https://oer.galileo.usg.edu/education-textbooks/1</w:t>
      </w:r>
    </w:p>
    <w:sectPr w:rsidR="00A975FC" w:rsidSect="005E2091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E463E" w14:textId="77777777" w:rsidR="0029005F" w:rsidRDefault="0029005F" w:rsidP="00EE5BB5">
      <w:pPr>
        <w:spacing w:after="0" w:line="240" w:lineRule="auto"/>
      </w:pPr>
      <w:r>
        <w:separator/>
      </w:r>
    </w:p>
  </w:endnote>
  <w:endnote w:type="continuationSeparator" w:id="0">
    <w:p w14:paraId="51D72CEF" w14:textId="77777777" w:rsidR="0029005F" w:rsidRDefault="0029005F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54AE8768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54AE8768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9562B" w14:textId="77777777" w:rsidR="0029005F" w:rsidRDefault="0029005F" w:rsidP="00EE5BB5">
      <w:pPr>
        <w:spacing w:after="0" w:line="240" w:lineRule="auto"/>
      </w:pPr>
      <w:r>
        <w:separator/>
      </w:r>
    </w:p>
  </w:footnote>
  <w:footnote w:type="continuationSeparator" w:id="0">
    <w:p w14:paraId="4D945504" w14:textId="77777777" w:rsidR="0029005F" w:rsidRDefault="0029005F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223C2BF7" w:rsidR="00473099" w:rsidRDefault="00156F8E" w:rsidP="00156F8E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E492F43" wp14:editId="0F1418E5">
              <wp:simplePos x="0" y="0"/>
              <wp:positionH relativeFrom="margin">
                <wp:posOffset>-82550</wp:posOffset>
              </wp:positionH>
              <wp:positionV relativeFrom="paragraph">
                <wp:posOffset>-304800</wp:posOffset>
              </wp:positionV>
              <wp:extent cx="4901565" cy="368300"/>
              <wp:effectExtent l="0" t="0" r="0" b="0"/>
              <wp:wrapNone/>
              <wp:docPr id="2004080458" name="Rectangle 20040804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83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34FE7D33" w14:textId="77777777" w:rsidR="00156F8E" w:rsidRDefault="00156F8E" w:rsidP="00156F8E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51C5354D" w14:textId="6DA61D67" w:rsidR="00156F8E" w:rsidRPr="00082035" w:rsidRDefault="00156F8E" w:rsidP="00156F8E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.SC-0925-003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492F43" id="Rectangle 2004080458" o:spid="_x0000_s1027" style="position:absolute;left:0;text-align:left;margin-left:-6.5pt;margin-top:-24pt;width:385.9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" fillcolor="window" stroked="f" strokeweight="1pt">
              <v:textbox>
                <w:txbxContent>
                  <w:p w14:paraId="34FE7D33" w14:textId="77777777" w:rsidR="00156F8E" w:rsidRDefault="00156F8E" w:rsidP="00156F8E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51C5354D" w14:textId="6DA61D67" w:rsidR="00156F8E" w:rsidRPr="00082035" w:rsidRDefault="00156F8E" w:rsidP="00156F8E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.SC-0925-003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3F060408" w14:textId="77777777" w:rsidR="00156F8E" w:rsidRPr="00156F8E" w:rsidRDefault="00156F8E" w:rsidP="00156F8E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B31E8"/>
    <w:multiLevelType w:val="hybridMultilevel"/>
    <w:tmpl w:val="95EC2786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275AD"/>
    <w:multiLevelType w:val="hybridMultilevel"/>
    <w:tmpl w:val="4C163C6E"/>
    <w:lvl w:ilvl="0" w:tplc="B2284F00">
      <w:start w:val="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982F12"/>
    <w:multiLevelType w:val="hybridMultilevel"/>
    <w:tmpl w:val="0394B6F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C4994"/>
    <w:multiLevelType w:val="hybridMultilevel"/>
    <w:tmpl w:val="841250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07635A"/>
    <w:multiLevelType w:val="hybridMultilevel"/>
    <w:tmpl w:val="763447DA"/>
    <w:lvl w:ilvl="0" w:tplc="F49EE1C6">
      <w:start w:val="1"/>
      <w:numFmt w:val="upperLetter"/>
      <w:lvlText w:val="%1."/>
      <w:lvlJc w:val="left"/>
      <w:pPr>
        <w:ind w:left="720" w:hanging="360"/>
      </w:pPr>
      <w:rPr>
        <w:rFonts w:hint="default"/>
        <w:sz w:val="21"/>
        <w:szCs w:val="21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5571A9"/>
    <w:multiLevelType w:val="hybridMultilevel"/>
    <w:tmpl w:val="A502EE9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683949"/>
    <w:multiLevelType w:val="hybridMultilevel"/>
    <w:tmpl w:val="8E1C5D0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abstractNum w:abstractNumId="10" w15:restartNumberingAfterBreak="0">
    <w:nsid w:val="7DBC5731"/>
    <w:multiLevelType w:val="hybridMultilevel"/>
    <w:tmpl w:val="E18A1722"/>
    <w:lvl w:ilvl="0" w:tplc="341EAAEE">
      <w:start w:val="1"/>
      <w:numFmt w:val="upperLetter"/>
      <w:lvlText w:val="%1."/>
      <w:lvlJc w:val="left"/>
      <w:pPr>
        <w:ind w:left="720" w:hanging="360"/>
      </w:pPr>
      <w:rPr>
        <w:rFonts w:ascii="Arial Rounded MT Bold" w:hAnsi="Arial Rounded MT Bold" w:hint="default"/>
        <w:b/>
        <w:sz w:val="2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08628">
    <w:abstractNumId w:val="8"/>
  </w:num>
  <w:num w:numId="2" w16cid:durableId="1113865905">
    <w:abstractNumId w:val="9"/>
  </w:num>
  <w:num w:numId="3" w16cid:durableId="1849559613">
    <w:abstractNumId w:val="4"/>
  </w:num>
  <w:num w:numId="4" w16cid:durableId="767847206">
    <w:abstractNumId w:val="7"/>
  </w:num>
  <w:num w:numId="5" w16cid:durableId="671294282">
    <w:abstractNumId w:val="0"/>
  </w:num>
  <w:num w:numId="6" w16cid:durableId="454103743">
    <w:abstractNumId w:val="5"/>
  </w:num>
  <w:num w:numId="7" w16cid:durableId="536091032">
    <w:abstractNumId w:val="2"/>
  </w:num>
  <w:num w:numId="8" w16cid:durableId="1474564448">
    <w:abstractNumId w:val="6"/>
  </w:num>
  <w:num w:numId="9" w16cid:durableId="1949004445">
    <w:abstractNumId w:val="3"/>
  </w:num>
  <w:num w:numId="10" w16cid:durableId="1092358183">
    <w:abstractNumId w:val="1"/>
  </w:num>
  <w:num w:numId="11" w16cid:durableId="2776415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5F8D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C0"/>
    <w:rsid w:val="000A2BD0"/>
    <w:rsid w:val="000A2D16"/>
    <w:rsid w:val="000A356E"/>
    <w:rsid w:val="000A3725"/>
    <w:rsid w:val="000A3986"/>
    <w:rsid w:val="000A40C3"/>
    <w:rsid w:val="000A6611"/>
    <w:rsid w:val="000B15FD"/>
    <w:rsid w:val="000B1841"/>
    <w:rsid w:val="000B3ADB"/>
    <w:rsid w:val="000B4FBB"/>
    <w:rsid w:val="000B5707"/>
    <w:rsid w:val="000B6994"/>
    <w:rsid w:val="000B76AE"/>
    <w:rsid w:val="000C306C"/>
    <w:rsid w:val="000C4605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074D4"/>
    <w:rsid w:val="00112A09"/>
    <w:rsid w:val="00112C6C"/>
    <w:rsid w:val="00115706"/>
    <w:rsid w:val="0011599F"/>
    <w:rsid w:val="00115E65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4A5B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568C4"/>
    <w:rsid w:val="00156F8E"/>
    <w:rsid w:val="001608B4"/>
    <w:rsid w:val="00160F82"/>
    <w:rsid w:val="0016150E"/>
    <w:rsid w:val="00161CD4"/>
    <w:rsid w:val="00163005"/>
    <w:rsid w:val="00164A85"/>
    <w:rsid w:val="00164B2D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17F0"/>
    <w:rsid w:val="001840F9"/>
    <w:rsid w:val="0018482F"/>
    <w:rsid w:val="00185F6D"/>
    <w:rsid w:val="001865F3"/>
    <w:rsid w:val="00186999"/>
    <w:rsid w:val="00187AD2"/>
    <w:rsid w:val="0019173B"/>
    <w:rsid w:val="00192FD0"/>
    <w:rsid w:val="00193051"/>
    <w:rsid w:val="00194B62"/>
    <w:rsid w:val="00194DDF"/>
    <w:rsid w:val="001971CC"/>
    <w:rsid w:val="001A0E71"/>
    <w:rsid w:val="001A3ABB"/>
    <w:rsid w:val="001A463D"/>
    <w:rsid w:val="001A6266"/>
    <w:rsid w:val="001A7694"/>
    <w:rsid w:val="001B1386"/>
    <w:rsid w:val="001B1CF5"/>
    <w:rsid w:val="001B37EC"/>
    <w:rsid w:val="001B5E18"/>
    <w:rsid w:val="001B66FF"/>
    <w:rsid w:val="001B6B11"/>
    <w:rsid w:val="001B7161"/>
    <w:rsid w:val="001C35F2"/>
    <w:rsid w:val="001C4CAF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0EF7"/>
    <w:rsid w:val="001E171B"/>
    <w:rsid w:val="001E1AF7"/>
    <w:rsid w:val="001E255D"/>
    <w:rsid w:val="001E2CE1"/>
    <w:rsid w:val="001E3410"/>
    <w:rsid w:val="001E5361"/>
    <w:rsid w:val="001E53C3"/>
    <w:rsid w:val="001E53EC"/>
    <w:rsid w:val="001E6AF7"/>
    <w:rsid w:val="001F19DC"/>
    <w:rsid w:val="001F2659"/>
    <w:rsid w:val="001F27F9"/>
    <w:rsid w:val="001F286C"/>
    <w:rsid w:val="001F34C2"/>
    <w:rsid w:val="001F4113"/>
    <w:rsid w:val="001F4DB3"/>
    <w:rsid w:val="001F4EE9"/>
    <w:rsid w:val="001F5694"/>
    <w:rsid w:val="001F6300"/>
    <w:rsid w:val="001F6438"/>
    <w:rsid w:val="001F6A7C"/>
    <w:rsid w:val="001F7624"/>
    <w:rsid w:val="0020097E"/>
    <w:rsid w:val="0020175B"/>
    <w:rsid w:val="00202905"/>
    <w:rsid w:val="00203256"/>
    <w:rsid w:val="00203286"/>
    <w:rsid w:val="00204E3B"/>
    <w:rsid w:val="00205850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318C2"/>
    <w:rsid w:val="002328BD"/>
    <w:rsid w:val="00233166"/>
    <w:rsid w:val="00234AF2"/>
    <w:rsid w:val="00240966"/>
    <w:rsid w:val="00240AD5"/>
    <w:rsid w:val="00241569"/>
    <w:rsid w:val="00241AE8"/>
    <w:rsid w:val="00241F24"/>
    <w:rsid w:val="002421A4"/>
    <w:rsid w:val="00243B52"/>
    <w:rsid w:val="002444C9"/>
    <w:rsid w:val="00245E5A"/>
    <w:rsid w:val="0025021F"/>
    <w:rsid w:val="002520E8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2CD5"/>
    <w:rsid w:val="0027325E"/>
    <w:rsid w:val="0027388B"/>
    <w:rsid w:val="00275AA0"/>
    <w:rsid w:val="00276C8F"/>
    <w:rsid w:val="0028097D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05F"/>
    <w:rsid w:val="002901DC"/>
    <w:rsid w:val="00290503"/>
    <w:rsid w:val="002912B5"/>
    <w:rsid w:val="00291485"/>
    <w:rsid w:val="00291AF8"/>
    <w:rsid w:val="00292494"/>
    <w:rsid w:val="002933DD"/>
    <w:rsid w:val="00293BA7"/>
    <w:rsid w:val="00294378"/>
    <w:rsid w:val="00296014"/>
    <w:rsid w:val="002A0F73"/>
    <w:rsid w:val="002A3B09"/>
    <w:rsid w:val="002A6BFA"/>
    <w:rsid w:val="002A6D36"/>
    <w:rsid w:val="002A7134"/>
    <w:rsid w:val="002A7483"/>
    <w:rsid w:val="002B0412"/>
    <w:rsid w:val="002B1909"/>
    <w:rsid w:val="002B2211"/>
    <w:rsid w:val="002B338B"/>
    <w:rsid w:val="002B4962"/>
    <w:rsid w:val="002B50E9"/>
    <w:rsid w:val="002B56A0"/>
    <w:rsid w:val="002B5B82"/>
    <w:rsid w:val="002B7271"/>
    <w:rsid w:val="002B7377"/>
    <w:rsid w:val="002B77C9"/>
    <w:rsid w:val="002B79D4"/>
    <w:rsid w:val="002C1B85"/>
    <w:rsid w:val="002C1F5C"/>
    <w:rsid w:val="002C2B7C"/>
    <w:rsid w:val="002C5A89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777"/>
    <w:rsid w:val="002E1E31"/>
    <w:rsid w:val="002E259D"/>
    <w:rsid w:val="002E34BE"/>
    <w:rsid w:val="002E409A"/>
    <w:rsid w:val="002E5664"/>
    <w:rsid w:val="002E56E2"/>
    <w:rsid w:val="002E6F6A"/>
    <w:rsid w:val="002F0BE5"/>
    <w:rsid w:val="002F147A"/>
    <w:rsid w:val="002F1A72"/>
    <w:rsid w:val="002F23D4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CA7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5BC6"/>
    <w:rsid w:val="00346F3F"/>
    <w:rsid w:val="0034741C"/>
    <w:rsid w:val="00351A4A"/>
    <w:rsid w:val="00352FDE"/>
    <w:rsid w:val="0035403C"/>
    <w:rsid w:val="003557F2"/>
    <w:rsid w:val="00355AF8"/>
    <w:rsid w:val="003574C9"/>
    <w:rsid w:val="00357E44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1855"/>
    <w:rsid w:val="0039318B"/>
    <w:rsid w:val="0039511D"/>
    <w:rsid w:val="00396D39"/>
    <w:rsid w:val="0039740E"/>
    <w:rsid w:val="003A00C9"/>
    <w:rsid w:val="003A1DB0"/>
    <w:rsid w:val="003A213D"/>
    <w:rsid w:val="003A32B0"/>
    <w:rsid w:val="003A6B9A"/>
    <w:rsid w:val="003B1E0A"/>
    <w:rsid w:val="003B2384"/>
    <w:rsid w:val="003B2473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3F24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1ED1"/>
    <w:rsid w:val="003F2352"/>
    <w:rsid w:val="003F43C4"/>
    <w:rsid w:val="003F4E1F"/>
    <w:rsid w:val="003F5A59"/>
    <w:rsid w:val="003F5DAF"/>
    <w:rsid w:val="003F6561"/>
    <w:rsid w:val="003F730A"/>
    <w:rsid w:val="003F748F"/>
    <w:rsid w:val="00400263"/>
    <w:rsid w:val="00400D7A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2F82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F1"/>
    <w:rsid w:val="00437D93"/>
    <w:rsid w:val="004429BB"/>
    <w:rsid w:val="00442C5D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6ED4"/>
    <w:rsid w:val="004777FA"/>
    <w:rsid w:val="004830D6"/>
    <w:rsid w:val="00483AAD"/>
    <w:rsid w:val="00484731"/>
    <w:rsid w:val="0048682B"/>
    <w:rsid w:val="00486853"/>
    <w:rsid w:val="00486F99"/>
    <w:rsid w:val="00491240"/>
    <w:rsid w:val="004912D1"/>
    <w:rsid w:val="00491D1D"/>
    <w:rsid w:val="004930A8"/>
    <w:rsid w:val="004943BA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0F7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3D6C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391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6B94"/>
    <w:rsid w:val="00527CEC"/>
    <w:rsid w:val="00527EA5"/>
    <w:rsid w:val="00530EB4"/>
    <w:rsid w:val="00531A05"/>
    <w:rsid w:val="005336F8"/>
    <w:rsid w:val="0053383F"/>
    <w:rsid w:val="00533F8B"/>
    <w:rsid w:val="0053423A"/>
    <w:rsid w:val="00537242"/>
    <w:rsid w:val="005418FB"/>
    <w:rsid w:val="00544087"/>
    <w:rsid w:val="00544985"/>
    <w:rsid w:val="00544AF5"/>
    <w:rsid w:val="00544DC5"/>
    <w:rsid w:val="00545E19"/>
    <w:rsid w:val="0054703E"/>
    <w:rsid w:val="0054768B"/>
    <w:rsid w:val="00547DC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15B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34FB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7E70"/>
    <w:rsid w:val="005C0962"/>
    <w:rsid w:val="005C0D1F"/>
    <w:rsid w:val="005C192A"/>
    <w:rsid w:val="005C34F7"/>
    <w:rsid w:val="005C3F06"/>
    <w:rsid w:val="005C5DF6"/>
    <w:rsid w:val="005D03D0"/>
    <w:rsid w:val="005D24D1"/>
    <w:rsid w:val="005D27B1"/>
    <w:rsid w:val="005D3545"/>
    <w:rsid w:val="005D5D3E"/>
    <w:rsid w:val="005D793D"/>
    <w:rsid w:val="005E19E4"/>
    <w:rsid w:val="005E2091"/>
    <w:rsid w:val="005E2668"/>
    <w:rsid w:val="005E33A7"/>
    <w:rsid w:val="005E6307"/>
    <w:rsid w:val="005E6572"/>
    <w:rsid w:val="005E6DFB"/>
    <w:rsid w:val="005E77C7"/>
    <w:rsid w:val="005F068F"/>
    <w:rsid w:val="005F3056"/>
    <w:rsid w:val="005F41AC"/>
    <w:rsid w:val="005F6E78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6C1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18F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2B55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6472"/>
    <w:rsid w:val="00697D6A"/>
    <w:rsid w:val="006A07FB"/>
    <w:rsid w:val="006A117C"/>
    <w:rsid w:val="006A14C2"/>
    <w:rsid w:val="006A2B73"/>
    <w:rsid w:val="006A33E1"/>
    <w:rsid w:val="006A4A88"/>
    <w:rsid w:val="006A4DEB"/>
    <w:rsid w:val="006A6970"/>
    <w:rsid w:val="006A7CCA"/>
    <w:rsid w:val="006A7E4A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1166"/>
    <w:rsid w:val="006E4533"/>
    <w:rsid w:val="006E51B3"/>
    <w:rsid w:val="006E593B"/>
    <w:rsid w:val="006E5FB6"/>
    <w:rsid w:val="006E6C28"/>
    <w:rsid w:val="006E7004"/>
    <w:rsid w:val="006F16D6"/>
    <w:rsid w:val="006F1CF3"/>
    <w:rsid w:val="006F1CF5"/>
    <w:rsid w:val="006F2B62"/>
    <w:rsid w:val="006F62F8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269BC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6A3"/>
    <w:rsid w:val="00757E6B"/>
    <w:rsid w:val="00762280"/>
    <w:rsid w:val="007624F1"/>
    <w:rsid w:val="007635ED"/>
    <w:rsid w:val="00767191"/>
    <w:rsid w:val="00767DB1"/>
    <w:rsid w:val="007717B3"/>
    <w:rsid w:val="00771DCB"/>
    <w:rsid w:val="0077476A"/>
    <w:rsid w:val="00780EA4"/>
    <w:rsid w:val="007812E9"/>
    <w:rsid w:val="007831D3"/>
    <w:rsid w:val="007831D4"/>
    <w:rsid w:val="00783EAA"/>
    <w:rsid w:val="00785CB1"/>
    <w:rsid w:val="00785DB6"/>
    <w:rsid w:val="00790C79"/>
    <w:rsid w:val="007927A0"/>
    <w:rsid w:val="00793007"/>
    <w:rsid w:val="00793CEE"/>
    <w:rsid w:val="007940D3"/>
    <w:rsid w:val="00797BBD"/>
    <w:rsid w:val="007A072F"/>
    <w:rsid w:val="007A0E8B"/>
    <w:rsid w:val="007A1584"/>
    <w:rsid w:val="007A196F"/>
    <w:rsid w:val="007A19B0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6AF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E1511"/>
    <w:rsid w:val="007E16EE"/>
    <w:rsid w:val="007E1FF5"/>
    <w:rsid w:val="007E28D4"/>
    <w:rsid w:val="007E4860"/>
    <w:rsid w:val="007E5599"/>
    <w:rsid w:val="007E56D7"/>
    <w:rsid w:val="007F1D76"/>
    <w:rsid w:val="007F4256"/>
    <w:rsid w:val="007F5AC6"/>
    <w:rsid w:val="007F612F"/>
    <w:rsid w:val="007F6138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1CBC"/>
    <w:rsid w:val="00822D9A"/>
    <w:rsid w:val="008234D7"/>
    <w:rsid w:val="00823B2D"/>
    <w:rsid w:val="0082539F"/>
    <w:rsid w:val="00825CE6"/>
    <w:rsid w:val="00826F69"/>
    <w:rsid w:val="00827107"/>
    <w:rsid w:val="008274E6"/>
    <w:rsid w:val="008277F1"/>
    <w:rsid w:val="008279FB"/>
    <w:rsid w:val="008303F6"/>
    <w:rsid w:val="00830871"/>
    <w:rsid w:val="00830BB9"/>
    <w:rsid w:val="008314C5"/>
    <w:rsid w:val="00831FE8"/>
    <w:rsid w:val="00832CDA"/>
    <w:rsid w:val="00835581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4E8E"/>
    <w:rsid w:val="0086569C"/>
    <w:rsid w:val="00870A17"/>
    <w:rsid w:val="00870D9D"/>
    <w:rsid w:val="00871DA8"/>
    <w:rsid w:val="0087239C"/>
    <w:rsid w:val="008724AE"/>
    <w:rsid w:val="00873095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867D1"/>
    <w:rsid w:val="008907F5"/>
    <w:rsid w:val="00891E05"/>
    <w:rsid w:val="00892338"/>
    <w:rsid w:val="0089282F"/>
    <w:rsid w:val="00893031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B15AE"/>
    <w:rsid w:val="008B2465"/>
    <w:rsid w:val="008B2741"/>
    <w:rsid w:val="008B495C"/>
    <w:rsid w:val="008B5B4A"/>
    <w:rsid w:val="008B5C07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A4D"/>
    <w:rsid w:val="00907F90"/>
    <w:rsid w:val="00912C5B"/>
    <w:rsid w:val="00912E93"/>
    <w:rsid w:val="00913164"/>
    <w:rsid w:val="00913881"/>
    <w:rsid w:val="00913A12"/>
    <w:rsid w:val="0091561E"/>
    <w:rsid w:val="00917303"/>
    <w:rsid w:val="00920702"/>
    <w:rsid w:val="00921533"/>
    <w:rsid w:val="009227A3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2CE4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870FC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9D1"/>
    <w:rsid w:val="009D7BA8"/>
    <w:rsid w:val="009D7FDE"/>
    <w:rsid w:val="009E0455"/>
    <w:rsid w:val="009E1B79"/>
    <w:rsid w:val="009E1EE4"/>
    <w:rsid w:val="009E255E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5F3B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72B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209A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5FC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D75DD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52E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44CF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89D"/>
    <w:rsid w:val="00B34960"/>
    <w:rsid w:val="00B34FE2"/>
    <w:rsid w:val="00B3626B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67232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03D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20BE"/>
    <w:rsid w:val="00BD3EE2"/>
    <w:rsid w:val="00BD5763"/>
    <w:rsid w:val="00BD5C3C"/>
    <w:rsid w:val="00BD7D0B"/>
    <w:rsid w:val="00BD7D8A"/>
    <w:rsid w:val="00BD7EB7"/>
    <w:rsid w:val="00BE08B5"/>
    <w:rsid w:val="00BE3484"/>
    <w:rsid w:val="00BE4520"/>
    <w:rsid w:val="00BE4715"/>
    <w:rsid w:val="00BE55D7"/>
    <w:rsid w:val="00BE638A"/>
    <w:rsid w:val="00BF122D"/>
    <w:rsid w:val="00BF1E81"/>
    <w:rsid w:val="00BF2380"/>
    <w:rsid w:val="00BF4750"/>
    <w:rsid w:val="00BF4A2E"/>
    <w:rsid w:val="00BF6AD6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4439"/>
    <w:rsid w:val="00C270F9"/>
    <w:rsid w:val="00C3032D"/>
    <w:rsid w:val="00C309BD"/>
    <w:rsid w:val="00C30C8B"/>
    <w:rsid w:val="00C33286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B1F"/>
    <w:rsid w:val="00C671F2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86D70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6520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6670"/>
    <w:rsid w:val="00D07B34"/>
    <w:rsid w:val="00D07B66"/>
    <w:rsid w:val="00D10246"/>
    <w:rsid w:val="00D104A1"/>
    <w:rsid w:val="00D11070"/>
    <w:rsid w:val="00D11940"/>
    <w:rsid w:val="00D11B3D"/>
    <w:rsid w:val="00D131E8"/>
    <w:rsid w:val="00D16930"/>
    <w:rsid w:val="00D17325"/>
    <w:rsid w:val="00D202AF"/>
    <w:rsid w:val="00D21F7C"/>
    <w:rsid w:val="00D306E7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6D4E"/>
    <w:rsid w:val="00D371A1"/>
    <w:rsid w:val="00D4247E"/>
    <w:rsid w:val="00D42AE8"/>
    <w:rsid w:val="00D443C2"/>
    <w:rsid w:val="00D45CDD"/>
    <w:rsid w:val="00D45F2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0145"/>
    <w:rsid w:val="00D81019"/>
    <w:rsid w:val="00D812C2"/>
    <w:rsid w:val="00D822A4"/>
    <w:rsid w:val="00D8295D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41D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411E"/>
    <w:rsid w:val="00DD5907"/>
    <w:rsid w:val="00DD64ED"/>
    <w:rsid w:val="00DD75E9"/>
    <w:rsid w:val="00DD76FC"/>
    <w:rsid w:val="00DD7816"/>
    <w:rsid w:val="00DE04F4"/>
    <w:rsid w:val="00DE2C4A"/>
    <w:rsid w:val="00DE636E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0B9A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575C"/>
    <w:rsid w:val="00E25D11"/>
    <w:rsid w:val="00E26D2D"/>
    <w:rsid w:val="00E27383"/>
    <w:rsid w:val="00E346D3"/>
    <w:rsid w:val="00E34B0B"/>
    <w:rsid w:val="00E34B3B"/>
    <w:rsid w:val="00E355D5"/>
    <w:rsid w:val="00E36412"/>
    <w:rsid w:val="00E36CD5"/>
    <w:rsid w:val="00E37B0B"/>
    <w:rsid w:val="00E416D6"/>
    <w:rsid w:val="00E417E1"/>
    <w:rsid w:val="00E43606"/>
    <w:rsid w:val="00E44594"/>
    <w:rsid w:val="00E44AA8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0416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3438"/>
    <w:rsid w:val="00F742C3"/>
    <w:rsid w:val="00F75BC9"/>
    <w:rsid w:val="00F77EA9"/>
    <w:rsid w:val="00F80A59"/>
    <w:rsid w:val="00F8184F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A146E"/>
    <w:rsid w:val="00FA24AD"/>
    <w:rsid w:val="00FA28B1"/>
    <w:rsid w:val="00FA28CA"/>
    <w:rsid w:val="00FA5843"/>
    <w:rsid w:val="00FA7334"/>
    <w:rsid w:val="00FA75BC"/>
    <w:rsid w:val="00FB301D"/>
    <w:rsid w:val="00FB3D30"/>
    <w:rsid w:val="00FB3FD8"/>
    <w:rsid w:val="00FB54E7"/>
    <w:rsid w:val="00FB6D01"/>
    <w:rsid w:val="00FC2889"/>
    <w:rsid w:val="00FC2FDC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diff-highlight">
    <w:name w:val="diff-highlight"/>
    <w:basedOn w:val="DefaultParagraphFont"/>
    <w:rsid w:val="002B5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</Pages>
  <Words>998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225</cp:revision>
  <cp:lastPrinted>2026-02-23T02:42:00Z</cp:lastPrinted>
  <dcterms:created xsi:type="dcterms:W3CDTF">2025-10-30T12:13:00Z</dcterms:created>
  <dcterms:modified xsi:type="dcterms:W3CDTF">2026-02-26T00:31:00Z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