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30E30" w14:textId="77777777" w:rsidR="005D3973" w:rsidRPr="00392415" w:rsidRDefault="005D3973" w:rsidP="005D3973">
      <w:pPr>
        <w:spacing w:after="0" w:line="240" w:lineRule="auto"/>
        <w:jc w:val="both"/>
        <w:rPr>
          <w:rFonts w:ascii="Arial Rounded MT Bold" w:eastAsia="Century" w:hAnsi="Arial Rounded MT Bold" w:cs="Century"/>
          <w:b/>
          <w:bCs/>
        </w:rPr>
      </w:pPr>
      <w:r w:rsidRPr="00392415">
        <w:rPr>
          <w:rFonts w:ascii="Arial Rounded MT Bold" w:eastAsia="Century" w:hAnsi="Arial Rounded MT Bold" w:cs="Century"/>
          <w:b/>
          <w:bCs/>
        </w:rPr>
        <w:t>REFERENCES</w:t>
      </w:r>
    </w:p>
    <w:p w14:paraId="747427DE" w14:textId="77777777" w:rsidR="005D3973" w:rsidRDefault="005D3973" w:rsidP="005D3973">
      <w:pPr>
        <w:spacing w:after="0" w:line="240" w:lineRule="auto"/>
        <w:jc w:val="both"/>
        <w:rPr>
          <w:rFonts w:ascii="Bahnschrift" w:eastAsia="Century" w:hAnsi="Bahnschrift" w:cs="Century"/>
        </w:rPr>
      </w:pPr>
    </w:p>
    <w:p w14:paraId="272A6716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 Al-Mutairi, M. A. (2020). Kachru’s three concentric circles model of English language: An overview of criticism &amp; the place of Kuwait in it. </w:t>
      </w:r>
      <w:r w:rsidRPr="005F02E1">
        <w:rPr>
          <w:rFonts w:ascii="Bahnschrift" w:eastAsia="Century" w:hAnsi="Bahnschrift" w:cs="Century"/>
          <w:i/>
          <w:iCs/>
        </w:rPr>
        <w:t>English Language Teaching,13</w:t>
      </w:r>
      <w:r w:rsidRPr="0010074A">
        <w:rPr>
          <w:rFonts w:ascii="Bahnschrift" w:eastAsia="Century" w:hAnsi="Bahnschrift" w:cs="Century"/>
        </w:rPr>
        <w:t>(1),85–88. https://doi.org/10.5539/elt.v13n1p85</w:t>
      </w:r>
    </w:p>
    <w:p w14:paraId="20C17F26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A37AB93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 Bailey, S. (2025). </w:t>
      </w:r>
      <w:r w:rsidRPr="005F02E1">
        <w:rPr>
          <w:rFonts w:ascii="Bahnschrift" w:eastAsia="Century" w:hAnsi="Bahnschrift" w:cs="Century"/>
          <w:i/>
          <w:iCs/>
        </w:rPr>
        <w:t>Academic writing: A handbook for international students</w:t>
      </w:r>
      <w:r w:rsidRPr="0010074A">
        <w:rPr>
          <w:rFonts w:ascii="Bahnschrift" w:eastAsia="Century" w:hAnsi="Bahnschrift" w:cs="Century"/>
        </w:rPr>
        <w:t xml:space="preserve"> (6th ed.). Routledge. https://doi.org/10.4324/9781003509264</w:t>
      </w:r>
    </w:p>
    <w:p w14:paraId="04BDE6EB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045087E9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 Bautista, M. L. S. (2000). </w:t>
      </w:r>
      <w:r w:rsidRPr="005F02E1">
        <w:rPr>
          <w:rFonts w:ascii="Bahnschrift" w:eastAsia="Century" w:hAnsi="Bahnschrift" w:cs="Century"/>
          <w:i/>
          <w:iCs/>
        </w:rPr>
        <w:t>Defining Standard Philippine English: Its Status and Grammatical Features.</w:t>
      </w:r>
      <w:r w:rsidRPr="0010074A">
        <w:rPr>
          <w:rFonts w:ascii="Bahnschrift" w:eastAsia="Century" w:hAnsi="Bahnschrift" w:cs="Century"/>
        </w:rPr>
        <w:t xml:space="preserve"> De La Salle University Press. Manila. Philippines</w:t>
      </w:r>
    </w:p>
    <w:p w14:paraId="207AB483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1E6BC847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Bautista, M. L. S., &amp; Bolton, K. (Eds.). (2008). </w:t>
      </w:r>
      <w:r w:rsidRPr="005F02E1">
        <w:rPr>
          <w:rFonts w:ascii="Bahnschrift" w:eastAsia="Century" w:hAnsi="Bahnschrift" w:cs="Century"/>
          <w:i/>
          <w:iCs/>
        </w:rPr>
        <w:t>Philippine English: Linguistic and literary perspectives.</w:t>
      </w:r>
      <w:r w:rsidRPr="0010074A">
        <w:rPr>
          <w:rFonts w:ascii="Bahnschrift" w:eastAsia="Century" w:hAnsi="Bahnschrift" w:cs="Century"/>
        </w:rPr>
        <w:t xml:space="preserve"> Hong Kong University Press. https://doi.org/10.5790/hongkong/9789622099470.003.0001 </w:t>
      </w:r>
    </w:p>
    <w:p w14:paraId="27EF1899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1A8F6007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 Bernardo, A. S. (2011). De-hegemonizing the “hegemonized”: An exploratory study on the dominion of American English in the oldest university in Asia</w:t>
      </w:r>
      <w:r w:rsidRPr="005F02E1">
        <w:rPr>
          <w:rFonts w:ascii="Bahnschrift" w:eastAsia="Century" w:hAnsi="Bahnschrift" w:cs="Century"/>
          <w:i/>
          <w:iCs/>
        </w:rPr>
        <w:t xml:space="preserve">. </w:t>
      </w:r>
      <w:proofErr w:type="spellStart"/>
      <w:r w:rsidRPr="005F02E1">
        <w:rPr>
          <w:rFonts w:ascii="Bahnschrift" w:eastAsia="Century" w:hAnsi="Bahnschrift" w:cs="Century"/>
          <w:i/>
          <w:iCs/>
        </w:rPr>
        <w:t>i</w:t>
      </w:r>
      <w:proofErr w:type="spellEnd"/>
      <w:r w:rsidRPr="005F02E1">
        <w:rPr>
          <w:rFonts w:ascii="Bahnschrift" w:eastAsia="Century" w:hAnsi="Bahnschrift" w:cs="Century"/>
          <w:i/>
          <w:iCs/>
        </w:rPr>
        <w:t>-manager’s Journal on English Language Teaching, 1</w:t>
      </w:r>
      <w:r w:rsidRPr="0010074A">
        <w:rPr>
          <w:rFonts w:ascii="Bahnschrift" w:eastAsia="Century" w:hAnsi="Bahnschrift" w:cs="Century"/>
        </w:rPr>
        <w:t xml:space="preserve">(3), 7–22. https://doi.org/10.26634/jelt.1.3.1591 </w:t>
      </w:r>
    </w:p>
    <w:p w14:paraId="0963BA19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51E7047B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>Bernardo, A. S. (2022</w:t>
      </w:r>
      <w:r w:rsidRPr="005F02E1">
        <w:rPr>
          <w:rFonts w:ascii="Bahnschrift" w:eastAsia="Century" w:hAnsi="Bahnschrift" w:cs="Century"/>
          <w:i/>
          <w:iCs/>
        </w:rPr>
        <w:t>). Language teaching. In Philippine English</w:t>
      </w:r>
      <w:r w:rsidRPr="0010074A">
        <w:rPr>
          <w:rFonts w:ascii="Bahnschrift" w:eastAsia="Century" w:hAnsi="Bahnschrift" w:cs="Century"/>
        </w:rPr>
        <w:t xml:space="preserve"> (pp. 288-305). Routledge. https://doi.org/10.4324/9780429427824-29</w:t>
      </w:r>
    </w:p>
    <w:p w14:paraId="319D101E" w14:textId="77777777" w:rsidR="00845339" w:rsidRDefault="00845339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6A3D3C1" w14:textId="6F47D401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Bernardo, A. S. (2024). </w:t>
      </w:r>
      <w:r w:rsidRPr="005F02E1">
        <w:rPr>
          <w:rFonts w:ascii="Bahnschrift" w:eastAsia="Century" w:hAnsi="Bahnschrift" w:cs="Century"/>
        </w:rPr>
        <w:t xml:space="preserve">Teaching Philippine English through </w:t>
      </w:r>
      <w:proofErr w:type="spellStart"/>
      <w:r w:rsidRPr="005F02E1">
        <w:rPr>
          <w:rFonts w:ascii="Bahnschrift" w:eastAsia="Century" w:hAnsi="Bahnschrift" w:cs="Century"/>
        </w:rPr>
        <w:t>schoolscapes</w:t>
      </w:r>
      <w:proofErr w:type="spellEnd"/>
      <w:r w:rsidRPr="005F02E1">
        <w:rPr>
          <w:rFonts w:ascii="Bahnschrift" w:eastAsia="Century" w:hAnsi="Bahnschrift" w:cs="Century"/>
        </w:rPr>
        <w:t>.</w:t>
      </w:r>
      <w:r w:rsidRPr="0010074A">
        <w:rPr>
          <w:rFonts w:ascii="Bahnschrift" w:eastAsia="Century" w:hAnsi="Bahnschrift" w:cs="Century"/>
        </w:rPr>
        <w:t xml:space="preserve"> </w:t>
      </w:r>
      <w:r w:rsidRPr="005F02E1">
        <w:rPr>
          <w:rFonts w:ascii="Bahnschrift" w:eastAsia="Century" w:hAnsi="Bahnschrift" w:cs="Century"/>
          <w:i/>
          <w:iCs/>
        </w:rPr>
        <w:t xml:space="preserve">World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.</w:t>
      </w:r>
      <w:r w:rsidRPr="0010074A">
        <w:rPr>
          <w:rFonts w:ascii="Bahnschrift" w:eastAsia="Century" w:hAnsi="Bahnschrift" w:cs="Century"/>
        </w:rPr>
        <w:t xml:space="preserve"> Advance online publication. https://doi.org/10.1111/weng.12673 </w:t>
      </w:r>
    </w:p>
    <w:p w14:paraId="75FF4A42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5DD0BA30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Dayag, D. T. (2008). English-language media in the Philippines: Description and research. In M. L. S. Bautista &amp; K. Bolton (Eds.), </w:t>
      </w:r>
      <w:r w:rsidRPr="005F02E1">
        <w:rPr>
          <w:rFonts w:ascii="Bahnschrift" w:eastAsia="Century" w:hAnsi="Bahnschrift" w:cs="Century"/>
          <w:i/>
          <w:iCs/>
        </w:rPr>
        <w:t>Philippine English: Linguistic and literary perspectives</w:t>
      </w:r>
      <w:r w:rsidRPr="0010074A">
        <w:rPr>
          <w:rFonts w:ascii="Bahnschrift" w:eastAsia="Century" w:hAnsi="Bahnschrift" w:cs="Century"/>
        </w:rPr>
        <w:t xml:space="preserve"> (pp. 55–74). Hong Kong University Press. https://doi.org/10.5790/hongkong/9789622099470.003.0004</w:t>
      </w:r>
    </w:p>
    <w:p w14:paraId="2B83B927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762CE5A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Deterding, D. (2010). Norms for pronunciation in Southeast Asia. </w:t>
      </w:r>
      <w:r w:rsidRPr="005F02E1">
        <w:rPr>
          <w:rFonts w:ascii="Bahnschrift" w:eastAsia="Century" w:hAnsi="Bahnschrift" w:cs="Century"/>
          <w:i/>
          <w:iCs/>
        </w:rPr>
        <w:t xml:space="preserve">World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, 29</w:t>
      </w:r>
      <w:r w:rsidRPr="0010074A">
        <w:rPr>
          <w:rFonts w:ascii="Bahnschrift" w:eastAsia="Century" w:hAnsi="Bahnschrift" w:cs="Century"/>
        </w:rPr>
        <w:t>(3), 364–377. https://doi.org/10.1111/j.1467-971X.2010.01660.x</w:t>
      </w:r>
    </w:p>
    <w:p w14:paraId="249353F3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308517E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Foucault, M. (1972). The discourse on language (R. Swyer, Trans.). In A. M. Sheridan Smith (Trans.), </w:t>
      </w:r>
      <w:r w:rsidRPr="005F02E1">
        <w:rPr>
          <w:rFonts w:ascii="Bahnschrift" w:eastAsia="Century" w:hAnsi="Bahnschrift" w:cs="Century"/>
          <w:i/>
          <w:iCs/>
        </w:rPr>
        <w:t>The archaeology of knowledge</w:t>
      </w:r>
      <w:r w:rsidRPr="0010074A">
        <w:rPr>
          <w:rFonts w:ascii="Bahnschrift" w:eastAsia="Century" w:hAnsi="Bahnschrift" w:cs="Century"/>
        </w:rPr>
        <w:t xml:space="preserve"> (pp. 215–237). Pantheon Books.</w:t>
      </w:r>
    </w:p>
    <w:p w14:paraId="312B1BCD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5DD656D2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Giles, H., &amp; Coupland, N. (1991). </w:t>
      </w:r>
      <w:r w:rsidRPr="005F02E1">
        <w:rPr>
          <w:rFonts w:ascii="Bahnschrift" w:eastAsia="Century" w:hAnsi="Bahnschrift" w:cs="Century"/>
          <w:i/>
          <w:iCs/>
        </w:rPr>
        <w:t>Language: Contexts and consequences.</w:t>
      </w:r>
      <w:r w:rsidRPr="0010074A">
        <w:rPr>
          <w:rFonts w:ascii="Bahnschrift" w:eastAsia="Century" w:hAnsi="Bahnschrift" w:cs="Century"/>
        </w:rPr>
        <w:t xml:space="preserve"> Thomson Brooks/Cole Publishing Co.</w:t>
      </w:r>
    </w:p>
    <w:p w14:paraId="02CD9DD8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52D1BFF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Gonzales, W. D. W. (2017). Philippine </w:t>
      </w:r>
      <w:proofErr w:type="spellStart"/>
      <w:r w:rsidRPr="0010074A">
        <w:rPr>
          <w:rFonts w:ascii="Bahnschrift" w:eastAsia="Century" w:hAnsi="Bahnschrift" w:cs="Century"/>
        </w:rPr>
        <w:t>Englishes</w:t>
      </w:r>
      <w:proofErr w:type="spellEnd"/>
      <w:r w:rsidRPr="0010074A">
        <w:rPr>
          <w:rFonts w:ascii="Bahnschrift" w:eastAsia="Century" w:hAnsi="Bahnschrift" w:cs="Century"/>
        </w:rPr>
        <w:t xml:space="preserve">. </w:t>
      </w:r>
      <w:r w:rsidRPr="005F02E1">
        <w:rPr>
          <w:rFonts w:ascii="Bahnschrift" w:eastAsia="Century" w:hAnsi="Bahnschrift" w:cs="Century"/>
          <w:i/>
          <w:iCs/>
        </w:rPr>
        <w:t xml:space="preserve">Asian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, 19</w:t>
      </w:r>
      <w:r w:rsidRPr="0010074A">
        <w:rPr>
          <w:rFonts w:ascii="Bahnschrift" w:eastAsia="Century" w:hAnsi="Bahnschrift" w:cs="Century"/>
        </w:rPr>
        <w:t>(1), 79–95. https://doi.org/10.1080/13488678.2016.1274574</w:t>
      </w:r>
    </w:p>
    <w:p w14:paraId="4E97C5C7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F8B405B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Gupta, A. F. (1994). </w:t>
      </w:r>
      <w:r w:rsidRPr="005F02E1">
        <w:rPr>
          <w:rFonts w:ascii="Bahnschrift" w:eastAsia="Century" w:hAnsi="Bahnschrift" w:cs="Century"/>
          <w:i/>
          <w:iCs/>
        </w:rPr>
        <w:t>The step-tongue: Children’s English in Singapore.</w:t>
      </w:r>
      <w:r w:rsidRPr="0010074A">
        <w:rPr>
          <w:rFonts w:ascii="Bahnschrift" w:eastAsia="Century" w:hAnsi="Bahnschrift" w:cs="Century"/>
        </w:rPr>
        <w:t xml:space="preserve"> Clevedon, UK: Multilingual Matters.</w:t>
      </w:r>
    </w:p>
    <w:p w14:paraId="0C30AD77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27B6FDE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B27AE1">
        <w:rPr>
          <w:rFonts w:ascii="Bahnschrift" w:hAnsi="Bahnschrift" w:cs="Arial"/>
          <w:color w:val="222222"/>
          <w:shd w:val="clear" w:color="auto" w:fill="FFFFFF"/>
        </w:rPr>
        <w:t>Hernandez, H. P. (2020). Awareness of Filipino graduate students towards Philippine English. </w:t>
      </w:r>
      <w:r w:rsidRPr="00B27AE1">
        <w:rPr>
          <w:rFonts w:ascii="Bahnschrift" w:hAnsi="Bahnschrift" w:cs="Arial"/>
          <w:i/>
          <w:iCs/>
          <w:color w:val="222222"/>
          <w:shd w:val="clear" w:color="auto" w:fill="FFFFFF"/>
        </w:rPr>
        <w:t>The Normal Lights</w:t>
      </w:r>
      <w:r w:rsidRPr="00B27AE1">
        <w:rPr>
          <w:rFonts w:ascii="Bahnschrift" w:hAnsi="Bahnschrift" w:cs="Arial"/>
          <w:color w:val="222222"/>
          <w:shd w:val="clear" w:color="auto" w:fill="FFFFFF"/>
        </w:rPr>
        <w:t>, </w:t>
      </w:r>
      <w:r w:rsidRPr="00B27AE1">
        <w:rPr>
          <w:rFonts w:ascii="Bahnschrift" w:hAnsi="Bahnschrift" w:cs="Arial"/>
          <w:i/>
          <w:iCs/>
          <w:color w:val="222222"/>
          <w:shd w:val="clear" w:color="auto" w:fill="FFFFFF"/>
        </w:rPr>
        <w:t>14</w:t>
      </w:r>
      <w:r w:rsidRPr="00B27AE1">
        <w:rPr>
          <w:rFonts w:ascii="Bahnschrift" w:hAnsi="Bahnschrift" w:cs="Arial"/>
          <w:color w:val="222222"/>
          <w:shd w:val="clear" w:color="auto" w:fill="FFFFFF"/>
        </w:rPr>
        <w:t>(2).</w:t>
      </w:r>
    </w:p>
    <w:p w14:paraId="147F75FC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8DE1252" w14:textId="77777777" w:rsidR="005D3973" w:rsidRPr="0010074A" w:rsidRDefault="005D3973" w:rsidP="003566D8">
      <w:pP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lastRenderedPageBreak/>
        <w:t xml:space="preserve"> Jenkins, J. (2009). English as a lingua franca: Interpretations and attitudes. </w:t>
      </w:r>
      <w:r w:rsidRPr="005F02E1">
        <w:rPr>
          <w:rFonts w:ascii="Bahnschrift" w:eastAsia="Century" w:hAnsi="Bahnschrift" w:cs="Century"/>
          <w:i/>
          <w:iCs/>
        </w:rPr>
        <w:t xml:space="preserve">World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, 28</w:t>
      </w:r>
      <w:r w:rsidRPr="0010074A">
        <w:rPr>
          <w:rFonts w:ascii="Bahnschrift" w:eastAsia="Century" w:hAnsi="Bahnschrift" w:cs="Century"/>
        </w:rPr>
        <w:t>(2), 200–207. https://doi.org/10.1111/j.1467-971X.2009.01582.x</w:t>
      </w:r>
    </w:p>
    <w:p w14:paraId="7A71C274" w14:textId="77777777" w:rsidR="005D3973" w:rsidRDefault="005D3973" w:rsidP="003566D8">
      <w:pPr>
        <w:spacing w:after="0" w:line="240" w:lineRule="auto"/>
        <w:contextualSpacing/>
        <w:rPr>
          <w:rFonts w:ascii="Bahnschrift" w:eastAsia="Century" w:hAnsi="Bahnschrift" w:cs="Century"/>
        </w:rPr>
      </w:pPr>
    </w:p>
    <w:p w14:paraId="793DE748" w14:textId="77777777" w:rsidR="005D3973" w:rsidRPr="0010074A" w:rsidRDefault="005D3973" w:rsidP="003566D8">
      <w:pPr>
        <w:spacing w:after="0" w:line="240" w:lineRule="auto"/>
        <w:ind w:left="720" w:hanging="720"/>
        <w:contextualSpacing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Kachru, B. B. (1985). Standards, codification and sociolinguistic realism: The English language in the outer circle. In H. G. Quirk &amp; R. Widdowson (Eds.), </w:t>
      </w:r>
      <w:r w:rsidRPr="005F02E1">
        <w:rPr>
          <w:rFonts w:ascii="Bahnschrift" w:eastAsia="Century" w:hAnsi="Bahnschrift" w:cs="Century"/>
          <w:i/>
          <w:iCs/>
        </w:rPr>
        <w:t>English in the world: Teaching and learning the language and literatures</w:t>
      </w:r>
      <w:r w:rsidRPr="0010074A">
        <w:rPr>
          <w:rFonts w:ascii="Bahnschrift" w:eastAsia="Century" w:hAnsi="Bahnschrift" w:cs="Century"/>
        </w:rPr>
        <w:t xml:space="preserve"> (pp. 11–30). Cambridge University Press.</w:t>
      </w:r>
    </w:p>
    <w:p w14:paraId="56DE9AD5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34E6C9F3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Kachru, B. B. (1990). </w:t>
      </w:r>
      <w:r w:rsidRPr="005F02E1">
        <w:rPr>
          <w:rFonts w:ascii="Bahnschrift" w:eastAsia="Century" w:hAnsi="Bahnschrift" w:cs="Century"/>
          <w:i/>
          <w:iCs/>
        </w:rPr>
        <w:t xml:space="preserve">The alchemy of English: The spread, functions, and models of non-native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.</w:t>
      </w:r>
      <w:r w:rsidRPr="0010074A">
        <w:rPr>
          <w:rFonts w:ascii="Bahnschrift" w:eastAsia="Century" w:hAnsi="Bahnschrift" w:cs="Century"/>
        </w:rPr>
        <w:t xml:space="preserve"> University of Illinois Press.</w:t>
      </w:r>
    </w:p>
    <w:p w14:paraId="14DE50B0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FCA2882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Kachru, B. B. (2005). </w:t>
      </w:r>
      <w:r w:rsidRPr="005F02E1">
        <w:rPr>
          <w:rFonts w:ascii="Bahnschrift" w:eastAsia="Century" w:hAnsi="Bahnschrift" w:cs="Century"/>
          <w:i/>
          <w:iCs/>
        </w:rPr>
        <w:t xml:space="preserve">Asian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: Beyond the canon.</w:t>
      </w:r>
      <w:r w:rsidRPr="0010074A">
        <w:rPr>
          <w:rFonts w:ascii="Bahnschrift" w:eastAsia="Century" w:hAnsi="Bahnschrift" w:cs="Century"/>
        </w:rPr>
        <w:t xml:space="preserve"> Hong Kong University Press.</w:t>
      </w:r>
    </w:p>
    <w:p w14:paraId="7980E262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6079BDAA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Kirkpatrick, A. (2007). World </w:t>
      </w:r>
      <w:proofErr w:type="spellStart"/>
      <w:r w:rsidRPr="0010074A">
        <w:rPr>
          <w:rFonts w:ascii="Bahnschrift" w:eastAsia="Century" w:hAnsi="Bahnschrift" w:cs="Century"/>
        </w:rPr>
        <w:t>Englishes</w:t>
      </w:r>
      <w:proofErr w:type="spellEnd"/>
      <w:r w:rsidRPr="0010074A">
        <w:rPr>
          <w:rFonts w:ascii="Bahnschrift" w:eastAsia="Century" w:hAnsi="Bahnschrift" w:cs="Century"/>
        </w:rPr>
        <w:t xml:space="preserve">: Implications for international communication and English language teaching. Cambridge University Press. </w:t>
      </w:r>
    </w:p>
    <w:p w14:paraId="396E0A89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4D96F333" w14:textId="77777777" w:rsidR="005D3973" w:rsidRPr="00F9755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F97553">
        <w:rPr>
          <w:rFonts w:ascii="Bahnschrift" w:hAnsi="Bahnschrift"/>
        </w:rPr>
        <w:t xml:space="preserve">Llamzon, Teodoro A. (1969). </w:t>
      </w:r>
      <w:r w:rsidRPr="00F97553">
        <w:rPr>
          <w:rFonts w:ascii="Bahnschrift" w:hAnsi="Bahnschrift"/>
          <w:i/>
          <w:iCs/>
        </w:rPr>
        <w:t>Standard Filipino English</w:t>
      </w:r>
      <w:r w:rsidRPr="00F97553">
        <w:rPr>
          <w:rFonts w:ascii="Bahnschrift" w:hAnsi="Bahnschrift"/>
        </w:rPr>
        <w:t>. Ateneo de Manila University Press.</w:t>
      </w:r>
      <w:r w:rsidRPr="00F97553">
        <w:rPr>
          <w:rFonts w:ascii="Bahnschrift" w:eastAsia="Century" w:hAnsi="Bahnschrift" w:cs="Century"/>
        </w:rPr>
        <w:t xml:space="preserve">  </w:t>
      </w:r>
    </w:p>
    <w:p w14:paraId="32FCC5AB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2637F84E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Martin, I. P. (2014). Philippine English revisited. </w:t>
      </w:r>
      <w:r w:rsidRPr="005F02E1">
        <w:rPr>
          <w:rFonts w:ascii="Bahnschrift" w:eastAsia="Century" w:hAnsi="Bahnschrift" w:cs="Century"/>
          <w:i/>
          <w:iCs/>
        </w:rPr>
        <w:t xml:space="preserve">World </w:t>
      </w:r>
      <w:proofErr w:type="spellStart"/>
      <w:r w:rsidRPr="005F02E1">
        <w:rPr>
          <w:rFonts w:ascii="Bahnschrift" w:eastAsia="Century" w:hAnsi="Bahnschrift" w:cs="Century"/>
          <w:i/>
          <w:iCs/>
        </w:rPr>
        <w:t>Englishes</w:t>
      </w:r>
      <w:proofErr w:type="spellEnd"/>
      <w:r w:rsidRPr="005F02E1">
        <w:rPr>
          <w:rFonts w:ascii="Bahnschrift" w:eastAsia="Century" w:hAnsi="Bahnschrift" w:cs="Century"/>
          <w:i/>
          <w:iCs/>
        </w:rPr>
        <w:t>, 33</w:t>
      </w:r>
      <w:r w:rsidRPr="0010074A">
        <w:rPr>
          <w:rFonts w:ascii="Bahnschrift" w:eastAsia="Century" w:hAnsi="Bahnschrift" w:cs="Century"/>
        </w:rPr>
        <w:t xml:space="preserve">(1), 50–59. https://doi.org/10.1111/weng.12054 </w:t>
      </w:r>
    </w:p>
    <w:p w14:paraId="4C3D913E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70F9C73F" w14:textId="77777777" w:rsidR="005D3973" w:rsidRPr="0010074A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  <w:r w:rsidRPr="0010074A">
        <w:rPr>
          <w:rFonts w:ascii="Bahnschrift" w:eastAsia="Century" w:hAnsi="Bahnschrift" w:cs="Century"/>
        </w:rPr>
        <w:t xml:space="preserve">Tupas, R., &amp; Salonga, A. (2016). Unequal </w:t>
      </w:r>
      <w:proofErr w:type="spellStart"/>
      <w:r w:rsidRPr="0010074A">
        <w:rPr>
          <w:rFonts w:ascii="Bahnschrift" w:eastAsia="Century" w:hAnsi="Bahnschrift" w:cs="Century"/>
        </w:rPr>
        <w:t>Englishes</w:t>
      </w:r>
      <w:proofErr w:type="spellEnd"/>
      <w:r w:rsidRPr="0010074A">
        <w:rPr>
          <w:rFonts w:ascii="Bahnschrift" w:eastAsia="Century" w:hAnsi="Bahnschrift" w:cs="Century"/>
        </w:rPr>
        <w:t xml:space="preserve"> in the Philippines. </w:t>
      </w:r>
      <w:r w:rsidRPr="005F02E1">
        <w:rPr>
          <w:rFonts w:ascii="Bahnschrift" w:eastAsia="Century" w:hAnsi="Bahnschrift" w:cs="Century"/>
          <w:i/>
          <w:iCs/>
        </w:rPr>
        <w:t>Journal of Sociolinguistics, 20</w:t>
      </w:r>
      <w:r w:rsidRPr="0010074A">
        <w:rPr>
          <w:rFonts w:ascii="Bahnschrift" w:eastAsia="Century" w:hAnsi="Bahnschrift" w:cs="Century"/>
        </w:rPr>
        <w:t>(4), 451–471. https://doi.org/10.1111/josl.12185</w:t>
      </w:r>
    </w:p>
    <w:p w14:paraId="395D9FEB" w14:textId="77777777" w:rsidR="005D3973" w:rsidRDefault="005D3973" w:rsidP="003566D8">
      <w:pPr>
        <w:spacing w:after="0" w:line="240" w:lineRule="auto"/>
        <w:ind w:left="720" w:hanging="720"/>
        <w:jc w:val="both"/>
        <w:rPr>
          <w:rFonts w:ascii="Bahnschrift" w:eastAsia="Century" w:hAnsi="Bahnschrift" w:cs="Century"/>
        </w:rPr>
      </w:pPr>
    </w:p>
    <w:p w14:paraId="100607E5" w14:textId="57CCC0BA" w:rsidR="00BE2113" w:rsidRPr="00C349FB" w:rsidRDefault="005D3973" w:rsidP="003566D8">
      <w:pPr>
        <w:spacing w:after="0" w:line="240" w:lineRule="auto"/>
        <w:ind w:left="720" w:hanging="720"/>
      </w:pPr>
      <w:r w:rsidRPr="0010074A">
        <w:rPr>
          <w:rFonts w:ascii="Bahnschrift" w:eastAsia="Century" w:hAnsi="Bahnschrift" w:cs="Century"/>
        </w:rPr>
        <w:t xml:space="preserve">Wenger, E. (1998). </w:t>
      </w:r>
      <w:r w:rsidRPr="005F02E1">
        <w:rPr>
          <w:rFonts w:ascii="Bahnschrift" w:eastAsia="Century" w:hAnsi="Bahnschrift" w:cs="Century"/>
          <w:i/>
          <w:iCs/>
        </w:rPr>
        <w:t>Communities of practice: Learning, meaning, and identity.</w:t>
      </w:r>
      <w:r w:rsidRPr="0010074A">
        <w:rPr>
          <w:rFonts w:ascii="Bahnschrift" w:eastAsia="Century" w:hAnsi="Bahnschrift" w:cs="Century"/>
        </w:rPr>
        <w:t xml:space="preserve"> Cambridge University Press. https://doi.org/10.1017/CBO9780511803932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63D85" w14:textId="77777777" w:rsidR="00C82F91" w:rsidRDefault="00C82F91" w:rsidP="00290EE2">
      <w:pPr>
        <w:spacing w:after="0" w:line="240" w:lineRule="auto"/>
      </w:pPr>
      <w:r>
        <w:separator/>
      </w:r>
    </w:p>
  </w:endnote>
  <w:endnote w:type="continuationSeparator" w:id="0">
    <w:p w14:paraId="50205902" w14:textId="77777777" w:rsidR="00C82F91" w:rsidRDefault="00C82F9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5F66F" w14:textId="77777777" w:rsidR="00C82F91" w:rsidRDefault="00C82F91" w:rsidP="00290EE2">
      <w:pPr>
        <w:spacing w:after="0" w:line="240" w:lineRule="auto"/>
      </w:pPr>
      <w:r>
        <w:separator/>
      </w:r>
    </w:p>
  </w:footnote>
  <w:footnote w:type="continuationSeparator" w:id="0">
    <w:p w14:paraId="45B17247" w14:textId="77777777" w:rsidR="00C82F91" w:rsidRDefault="00C82F9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566D8"/>
    <w:rsid w:val="00370561"/>
    <w:rsid w:val="003970FD"/>
    <w:rsid w:val="003F04E4"/>
    <w:rsid w:val="00420FAF"/>
    <w:rsid w:val="004241DB"/>
    <w:rsid w:val="00451A1D"/>
    <w:rsid w:val="005611F8"/>
    <w:rsid w:val="005C1604"/>
    <w:rsid w:val="005D3973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5339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82F91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EE3E3C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2026-03-04T15:47:00Z</dcterms:modified>
</cp:coreProperties>
</file>