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1564D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298A303" w14:textId="55B5E9A1" w:rsidR="00E03E24" w:rsidRPr="00E03E24" w:rsidRDefault="00E03E24" w:rsidP="00E03E2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M. L. M. C. (2026). Navigating BIM transformation: Implementing Building Information Modeling in selected Bataan firms. </w:t>
      </w:r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123–140.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4B283A1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F7093A7" w14:textId="402C9B3E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Ma. Luz Mayeth C. “Navigating BIM Transformation: Implementing Building Information Modeling in Selected Bataan Firms.” </w:t>
      </w:r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123–140. DOI: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CDD312D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CB47E6F" w14:textId="3DDE529F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M.L.M.C., 2026. Navigating BIM transformation: Implementing Building Information Modeling in selected Bataan firms. </w:t>
      </w:r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pp.123–140. Available at: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636887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7ADD4CB" w14:textId="64480EB4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Ma. Luz Mayeth C. 2026. “Navigating BIM Transformation: Implementing Building Information Modeling in Selected Bataan Firms.” </w:t>
      </w:r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123–140.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C929BE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A532820" w14:textId="3B68FFDC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 MLMC. Navigating BIM transformation: Implementing Building Information Modeling in selected Bataan firms. </w:t>
      </w:r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2026;7(1):123–140. doi:10.62718/vmca.tech-gjtdsi.7.1.SC-0226-013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32CCC" w14:textId="77777777" w:rsidR="000B20E3" w:rsidRDefault="000B20E3" w:rsidP="00290EE2">
      <w:pPr>
        <w:spacing w:after="0" w:line="240" w:lineRule="auto"/>
      </w:pPr>
      <w:r>
        <w:separator/>
      </w:r>
    </w:p>
  </w:endnote>
  <w:endnote w:type="continuationSeparator" w:id="0">
    <w:p w14:paraId="06B9C753" w14:textId="77777777" w:rsidR="000B20E3" w:rsidRDefault="000B20E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FC0DF" w14:textId="77777777" w:rsidR="000B20E3" w:rsidRDefault="000B20E3" w:rsidP="00290EE2">
      <w:pPr>
        <w:spacing w:after="0" w:line="240" w:lineRule="auto"/>
      </w:pPr>
      <w:r>
        <w:separator/>
      </w:r>
    </w:p>
  </w:footnote>
  <w:footnote w:type="continuationSeparator" w:id="0">
    <w:p w14:paraId="75B380F5" w14:textId="77777777" w:rsidR="000B20E3" w:rsidRDefault="000B20E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2026-03-20T09:00:00Z</dcterms:modified>
</cp:coreProperties>
</file>