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0EADD" w14:textId="124189A3" w:rsidR="00EC54D1" w:rsidRPr="004B4C8F" w:rsidRDefault="004B4C8F" w:rsidP="004B4C8F">
      <w:pPr>
        <w:spacing w:line="240" w:lineRule="auto"/>
        <w:contextualSpacing/>
        <w:jc w:val="center"/>
        <w:rPr>
          <w:sz w:val="4"/>
          <w:szCs w:val="4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36F7F93E">
                <wp:simplePos x="0" y="0"/>
                <wp:positionH relativeFrom="column">
                  <wp:posOffset>-71755</wp:posOffset>
                </wp:positionH>
                <wp:positionV relativeFrom="paragraph">
                  <wp:posOffset>-640715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F5E25" w14:textId="77777777" w:rsidR="002336C9" w:rsidRDefault="002336C9" w:rsidP="002336C9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393B88CF" w14:textId="798C40BA" w:rsidR="002336C9" w:rsidRDefault="002336C9" w:rsidP="002336C9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71 – </w:t>
                            </w:r>
                            <w:r w:rsidR="004B4C8F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8</w:t>
                            </w:r>
                            <w:r w:rsidR="00C37D0B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16ACD3AD" w:rsidR="00AF31B1" w:rsidRPr="00082035" w:rsidRDefault="002336C9" w:rsidP="002336C9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5.65pt;margin-top:-50.45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CzTTLs4wAAAAwBAAAPAAAAAAAA&#10;AAAAAAAAAMUEAABkcnMvZG93bnJldi54bWxQSwUGAAAAAAQABADzAAAA1QUAAAAA&#10;" fillcolor="white [3201]" stroked="f" strokeweight="1pt">
                <v:textbox>
                  <w:txbxContent>
                    <w:p w14:paraId="492F5E25" w14:textId="77777777" w:rsidR="002336C9" w:rsidRDefault="002336C9" w:rsidP="002336C9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393B88CF" w14:textId="798C40BA" w:rsidR="002336C9" w:rsidRDefault="002336C9" w:rsidP="002336C9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71 – </w:t>
                      </w:r>
                      <w:r w:rsidR="004B4C8F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8</w:t>
                      </w:r>
                      <w:r w:rsidR="00C37D0B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16ACD3AD" w:rsidR="00AF31B1" w:rsidRPr="00082035" w:rsidRDefault="002336C9" w:rsidP="002336C9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.SC-1225-003</w:t>
                      </w:r>
                    </w:p>
                  </w:txbxContent>
                </v:textbox>
              </v:rect>
            </w:pict>
          </mc:Fallback>
        </mc:AlternateContent>
      </w:r>
    </w:p>
    <w:p w14:paraId="011F0D8C" w14:textId="242C9CB9" w:rsidR="0060051C" w:rsidRPr="00793007" w:rsidRDefault="00C37D0B" w:rsidP="00CB3233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1FF31E91">
            <wp:simplePos x="0" y="0"/>
            <wp:positionH relativeFrom="margin">
              <wp:posOffset>69850</wp:posOffset>
            </wp:positionH>
            <wp:positionV relativeFrom="paragraph">
              <wp:posOffset>73660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F95C61" w:rsidRPr="00D11940" w14:paraId="12BDB3F5" w14:textId="77777777" w:rsidTr="00F95C61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7CF1095B" w14:textId="5B1C2CA9" w:rsidR="00F95C61" w:rsidRPr="00D11940" w:rsidRDefault="00F95C61" w:rsidP="00F95C61">
            <w:pPr>
              <w:contextualSpacing/>
              <w:jc w:val="both"/>
              <w:rPr>
                <w:sz w:val="20"/>
                <w:szCs w:val="20"/>
              </w:rPr>
            </w:pPr>
            <w:r w:rsidRPr="002336C9">
              <w:rPr>
                <w:rFonts w:ascii="Arial Rounded MT Bold" w:hAnsi="Arial Rounded MT Bold"/>
                <w:b/>
                <w:sz w:val="24"/>
                <w:szCs w:val="24"/>
              </w:rPr>
              <w:t>Preparing Against the Odds: Criminology Graduates’ Board Exam Experiences During a Global Crisis</w:t>
            </w:r>
          </w:p>
        </w:tc>
      </w:tr>
      <w:tr w:rsidR="00F95C61" w:rsidRPr="00D11940" w14:paraId="3C19D6B8" w14:textId="77777777" w:rsidTr="00F95C61">
        <w:trPr>
          <w:trHeight w:val="260"/>
        </w:trPr>
        <w:tc>
          <w:tcPr>
            <w:tcW w:w="10060" w:type="dxa"/>
            <w:vMerge/>
          </w:tcPr>
          <w:p w14:paraId="228591C1" w14:textId="77777777" w:rsidR="00F95C61" w:rsidRPr="00D11940" w:rsidRDefault="00F95C61" w:rsidP="00D474EC">
            <w:pPr>
              <w:contextualSpacing/>
              <w:rPr>
                <w:sz w:val="20"/>
                <w:szCs w:val="20"/>
              </w:rPr>
            </w:pPr>
          </w:p>
        </w:tc>
      </w:tr>
      <w:tr w:rsidR="00F95C61" w:rsidRPr="00D11940" w14:paraId="75542361" w14:textId="77777777" w:rsidTr="00F95C61">
        <w:trPr>
          <w:trHeight w:val="260"/>
        </w:trPr>
        <w:tc>
          <w:tcPr>
            <w:tcW w:w="10060" w:type="dxa"/>
            <w:vMerge/>
          </w:tcPr>
          <w:p w14:paraId="67A95BC9" w14:textId="77777777" w:rsidR="00F95C61" w:rsidRPr="00D11940" w:rsidRDefault="00F95C61" w:rsidP="00D474EC">
            <w:pPr>
              <w:contextualSpacing/>
              <w:rPr>
                <w:sz w:val="20"/>
                <w:szCs w:val="20"/>
              </w:rPr>
            </w:pPr>
          </w:p>
        </w:tc>
      </w:tr>
      <w:tr w:rsidR="00F95C61" w:rsidRPr="00D11940" w14:paraId="40183883" w14:textId="77777777" w:rsidTr="00F95C61">
        <w:trPr>
          <w:trHeight w:val="260"/>
        </w:trPr>
        <w:tc>
          <w:tcPr>
            <w:tcW w:w="10060" w:type="dxa"/>
            <w:vMerge/>
          </w:tcPr>
          <w:p w14:paraId="6518B843" w14:textId="77777777" w:rsidR="00F95C61" w:rsidRPr="00D11940" w:rsidRDefault="00F95C61" w:rsidP="00D474EC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F95C61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2D7B8723" w14:textId="3010940D" w:rsidR="00C77D17" w:rsidRPr="004977AE" w:rsidRDefault="004977AE" w:rsidP="00C77D17">
      <w:pPr>
        <w:spacing w:after="0" w:line="240" w:lineRule="auto"/>
        <w:ind w:right="26"/>
        <w:jc w:val="both"/>
        <w:rPr>
          <w:rFonts w:ascii="Arial Rounded MT Bold" w:eastAsia="Century" w:hAnsi="Arial Rounded MT Bold" w:cs="Century"/>
          <w:b/>
          <w:bCs/>
        </w:rPr>
      </w:pPr>
      <w:r w:rsidRPr="004977AE">
        <w:rPr>
          <w:rFonts w:ascii="Arial Rounded MT Bold" w:eastAsia="Century" w:hAnsi="Arial Rounded MT Bold" w:cs="Century"/>
          <w:b/>
          <w:bCs/>
        </w:rPr>
        <w:t>REFERENCES</w:t>
      </w:r>
    </w:p>
    <w:p w14:paraId="76FC06EE" w14:textId="77777777" w:rsidR="00C77D17" w:rsidRPr="004F4FC7" w:rsidRDefault="00C77D17" w:rsidP="00C77D17">
      <w:pPr>
        <w:spacing w:after="0" w:line="240" w:lineRule="auto"/>
        <w:ind w:right="26"/>
        <w:jc w:val="both"/>
        <w:rPr>
          <w:rFonts w:ascii="Bahnschrift" w:eastAsia="Century" w:hAnsi="Bahnschrift" w:cs="Century"/>
          <w:b/>
          <w:bCs/>
        </w:rPr>
      </w:pPr>
    </w:p>
    <w:p w14:paraId="3DA2C1A9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Albina, A. C., Balasabas, J. Y., </w:t>
      </w:r>
      <w:proofErr w:type="spellStart"/>
      <w:r w:rsidRPr="004977AE">
        <w:rPr>
          <w:rFonts w:ascii="Bahnschrift" w:eastAsia="Century" w:hAnsi="Bahnschrift" w:cs="Century"/>
        </w:rPr>
        <w:t>Laquinon</w:t>
      </w:r>
      <w:proofErr w:type="spellEnd"/>
      <w:r w:rsidRPr="004977AE">
        <w:rPr>
          <w:rFonts w:ascii="Bahnschrift" w:eastAsia="Century" w:hAnsi="Bahnschrift" w:cs="Century"/>
        </w:rPr>
        <w:t xml:space="preserve">, B. J. I., </w:t>
      </w:r>
      <w:proofErr w:type="spellStart"/>
      <w:r w:rsidRPr="004977AE">
        <w:rPr>
          <w:rFonts w:ascii="Bahnschrift" w:eastAsia="Century" w:hAnsi="Bahnschrift" w:cs="Century"/>
        </w:rPr>
        <w:t>Pampilo</w:t>
      </w:r>
      <w:proofErr w:type="spellEnd"/>
      <w:r w:rsidRPr="004977AE">
        <w:rPr>
          <w:rFonts w:ascii="Bahnschrift" w:eastAsia="Century" w:hAnsi="Bahnschrift" w:cs="Century"/>
        </w:rPr>
        <w:t xml:space="preserve">, M. H. &amp; Caballero, L. J. (2021). Factors and challenges influencing the criminologist licensure examination performance through the non-passers’ lens. </w:t>
      </w:r>
      <w:r w:rsidRPr="004977AE">
        <w:rPr>
          <w:rFonts w:ascii="Bahnschrift" w:eastAsia="Century" w:hAnsi="Bahnschrift" w:cs="Century"/>
          <w:i/>
          <w:iCs/>
        </w:rPr>
        <w:t>European Journal of Educational Research, 11</w:t>
      </w:r>
      <w:r w:rsidRPr="004977AE">
        <w:rPr>
          <w:rFonts w:ascii="Bahnschrift" w:eastAsia="Century" w:hAnsi="Bahnschrift" w:cs="Century"/>
        </w:rPr>
        <w:t xml:space="preserve">(1), 365–380. </w:t>
      </w:r>
      <w:hyperlink r:id="rId15">
        <w:r w:rsidRPr="004977AE">
          <w:rPr>
            <w:rFonts w:ascii="Bahnschrift" w:eastAsia="Century" w:hAnsi="Bahnschrift" w:cs="Century"/>
          </w:rPr>
          <w:t>https://doi.org/10.12973/eu-jer.11.1.365</w:t>
        </w:r>
      </w:hyperlink>
      <w:r w:rsidRPr="004977AE">
        <w:rPr>
          <w:rFonts w:ascii="Bahnschrift" w:eastAsia="Century" w:hAnsi="Bahnschrift" w:cs="Century"/>
        </w:rPr>
        <w:t>.</w:t>
      </w:r>
    </w:p>
    <w:p w14:paraId="27EC4B22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F0B2FEB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Bandura, A. (1977). Self-efficacy: Toward a unifying theory of behavioral change. </w:t>
      </w:r>
      <w:r w:rsidRPr="004977AE">
        <w:rPr>
          <w:rFonts w:ascii="Bahnschrift" w:eastAsia="Century" w:hAnsi="Bahnschrift" w:cs="Century"/>
          <w:i/>
          <w:iCs/>
        </w:rPr>
        <w:t>Psychological Review, 84</w:t>
      </w:r>
      <w:r w:rsidRPr="004977AE">
        <w:rPr>
          <w:rFonts w:ascii="Bahnschrift" w:eastAsia="Century" w:hAnsi="Bahnschrift" w:cs="Century"/>
        </w:rPr>
        <w:t xml:space="preserve">(2), 191–215. </w:t>
      </w:r>
      <w:hyperlink r:id="rId16">
        <w:r w:rsidRPr="004977AE">
          <w:rPr>
            <w:rFonts w:ascii="Bahnschrift" w:eastAsia="Century" w:hAnsi="Bahnschrift" w:cs="Century"/>
          </w:rPr>
          <w:t>https://doi.org/10.1037/0033-295x.84.2.191</w:t>
        </w:r>
      </w:hyperlink>
      <w:r w:rsidRPr="004977AE">
        <w:rPr>
          <w:rFonts w:ascii="Bahnschrift" w:eastAsia="Century" w:hAnsi="Bahnschrift" w:cs="Century"/>
        </w:rPr>
        <w:t>.</w:t>
      </w:r>
    </w:p>
    <w:p w14:paraId="5B3A18AB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5ED15134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proofErr w:type="spellStart"/>
      <w:r w:rsidRPr="004977AE">
        <w:rPr>
          <w:rFonts w:ascii="Bahnschrift" w:eastAsia="Century" w:hAnsi="Bahnschrift" w:cs="Century"/>
        </w:rPr>
        <w:t>Bangaysiso</w:t>
      </w:r>
      <w:proofErr w:type="spellEnd"/>
      <w:r w:rsidRPr="004977AE">
        <w:rPr>
          <w:rFonts w:ascii="Bahnschrift" w:eastAsia="Century" w:hAnsi="Bahnschrift" w:cs="Century"/>
        </w:rPr>
        <w:t xml:space="preserve">, J. K. V., </w:t>
      </w:r>
      <w:proofErr w:type="spellStart"/>
      <w:r w:rsidRPr="004977AE">
        <w:rPr>
          <w:rFonts w:ascii="Bahnschrift" w:eastAsia="Century" w:hAnsi="Bahnschrift" w:cs="Century"/>
        </w:rPr>
        <w:t>Sabijon</w:t>
      </w:r>
      <w:proofErr w:type="spellEnd"/>
      <w:r w:rsidRPr="004977AE">
        <w:rPr>
          <w:rFonts w:ascii="Bahnschrift" w:eastAsia="Century" w:hAnsi="Bahnschrift" w:cs="Century"/>
        </w:rPr>
        <w:t xml:space="preserve">, D. F., Sayson, Y. C., </w:t>
      </w:r>
      <w:proofErr w:type="spellStart"/>
      <w:r w:rsidRPr="004977AE">
        <w:rPr>
          <w:rFonts w:ascii="Bahnschrift" w:eastAsia="Century" w:hAnsi="Bahnschrift" w:cs="Century"/>
        </w:rPr>
        <w:t>Sagayno</w:t>
      </w:r>
      <w:proofErr w:type="spellEnd"/>
      <w:r w:rsidRPr="004977AE">
        <w:rPr>
          <w:rFonts w:ascii="Bahnschrift" w:eastAsia="Century" w:hAnsi="Bahnschrift" w:cs="Century"/>
        </w:rPr>
        <w:t xml:space="preserve">, R. C., Pioquinto, P. &amp; </w:t>
      </w:r>
      <w:proofErr w:type="spellStart"/>
      <w:r w:rsidRPr="004977AE">
        <w:rPr>
          <w:rFonts w:ascii="Bahnschrift" w:eastAsia="Century" w:hAnsi="Bahnschrift" w:cs="Century"/>
        </w:rPr>
        <w:t>Nillama</w:t>
      </w:r>
      <w:proofErr w:type="spellEnd"/>
      <w:r w:rsidRPr="004977AE">
        <w:rPr>
          <w:rFonts w:ascii="Bahnschrift" w:eastAsia="Century" w:hAnsi="Bahnschrift" w:cs="Century"/>
        </w:rPr>
        <w:t>, V. R. A. (2024). Thorns of failures: Views of non-passers of criminology board examination.</w:t>
      </w:r>
      <w:r w:rsidRPr="004977AE">
        <w:rPr>
          <w:rFonts w:ascii="Bahnschrift" w:eastAsia="Century" w:hAnsi="Bahnschrift" w:cs="Century"/>
          <w:i/>
          <w:iCs/>
        </w:rPr>
        <w:t xml:space="preserve"> International Journal of Law and Politics Studies, 6</w:t>
      </w:r>
      <w:r w:rsidRPr="004977AE">
        <w:rPr>
          <w:rFonts w:ascii="Bahnschrift" w:eastAsia="Century" w:hAnsi="Bahnschrift" w:cs="Century"/>
        </w:rPr>
        <w:t xml:space="preserve">(3), 78–94. </w:t>
      </w:r>
      <w:hyperlink r:id="rId17">
        <w:r w:rsidRPr="004977AE">
          <w:rPr>
            <w:rFonts w:ascii="Bahnschrift" w:eastAsia="Century" w:hAnsi="Bahnschrift" w:cs="Century"/>
          </w:rPr>
          <w:t>https://doi.org/10.32996/ijlps.2024.6.3.7</w:t>
        </w:r>
      </w:hyperlink>
      <w:r w:rsidRPr="004977AE">
        <w:rPr>
          <w:rFonts w:ascii="Bahnschrift" w:eastAsia="Century" w:hAnsi="Bahnschrift" w:cs="Century"/>
        </w:rPr>
        <w:t>.</w:t>
      </w:r>
    </w:p>
    <w:p w14:paraId="1F25261D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6F33E16D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Biliran Province State University. (n.d.). Retrieved May 24, 2021 from </w:t>
      </w:r>
      <w:hyperlink r:id="rId18">
        <w:r w:rsidRPr="004977AE">
          <w:rPr>
            <w:rFonts w:ascii="Bahnschrift" w:eastAsia="Century" w:hAnsi="Bahnschrift" w:cs="Century"/>
          </w:rPr>
          <w:t>https://www.edukasyon.ph/schools/biliran-province-state-university</w:t>
        </w:r>
      </w:hyperlink>
      <w:r w:rsidRPr="004977AE">
        <w:rPr>
          <w:rFonts w:ascii="Bahnschrift" w:eastAsia="Century" w:hAnsi="Bahnschrift" w:cs="Century"/>
        </w:rPr>
        <w:t>.</w:t>
      </w:r>
    </w:p>
    <w:p w14:paraId="345C09F6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49F6E37B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Cabatbat K. P. M. (2022). Bar exam takers amidst the Covid 19 pandemic. </w:t>
      </w:r>
      <w:r w:rsidRPr="004977AE">
        <w:rPr>
          <w:rFonts w:ascii="Bahnschrift" w:eastAsia="Century" w:hAnsi="Bahnschrift" w:cs="Century"/>
          <w:i/>
          <w:iCs/>
        </w:rPr>
        <w:t>Journal of Public Health (Oxford, England), 44</w:t>
      </w:r>
      <w:r w:rsidRPr="004977AE">
        <w:rPr>
          <w:rFonts w:ascii="Bahnschrift" w:eastAsia="Century" w:hAnsi="Bahnschrift" w:cs="Century"/>
        </w:rPr>
        <w:t xml:space="preserve">(2), e339–e340. </w:t>
      </w:r>
      <w:hyperlink r:id="rId19">
        <w:r w:rsidRPr="004977AE">
          <w:rPr>
            <w:rFonts w:ascii="Bahnschrift" w:eastAsia="Century" w:hAnsi="Bahnschrift" w:cs="Century"/>
          </w:rPr>
          <w:t>https://doi.org/10.1093/pubmed/fdab246</w:t>
        </w:r>
      </w:hyperlink>
      <w:r w:rsidRPr="004977AE">
        <w:rPr>
          <w:rFonts w:ascii="Bahnschrift" w:eastAsia="Century" w:hAnsi="Bahnschrift" w:cs="Century"/>
        </w:rPr>
        <w:t>.</w:t>
      </w:r>
    </w:p>
    <w:p w14:paraId="1F81B99B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4EBA3391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Dacanay, R. M., Ignacio, E. C. &amp; Rivera, C. D. (2021). Challenges and coping mechanisms of licensure examination takers during the Covid 19 pandemic: A Philippine perspective. </w:t>
      </w:r>
      <w:r w:rsidRPr="004977AE">
        <w:rPr>
          <w:rFonts w:ascii="Bahnschrift" w:eastAsia="Century" w:hAnsi="Bahnschrift" w:cs="Century"/>
          <w:i/>
          <w:iCs/>
        </w:rPr>
        <w:t>Journal of Educational Resilience, 8</w:t>
      </w:r>
      <w:r w:rsidRPr="004977AE">
        <w:rPr>
          <w:rFonts w:ascii="Bahnschrift" w:eastAsia="Century" w:hAnsi="Bahnschrift" w:cs="Century"/>
        </w:rPr>
        <w:t>(2), 102-119.</w:t>
      </w:r>
    </w:p>
    <w:p w14:paraId="58592DB9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03BE932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Espartero, J. R. E. (2022). Factors that influenced and problems encountered in the criminologist licensure examination. </w:t>
      </w:r>
      <w:proofErr w:type="spellStart"/>
      <w:r w:rsidRPr="004977AE">
        <w:rPr>
          <w:rFonts w:ascii="Bahnschrift" w:eastAsia="Century" w:hAnsi="Bahnschrift" w:cs="Century"/>
          <w:i/>
          <w:iCs/>
        </w:rPr>
        <w:t>Zenodo</w:t>
      </w:r>
      <w:proofErr w:type="spellEnd"/>
      <w:r w:rsidRPr="004977AE">
        <w:rPr>
          <w:rFonts w:ascii="Bahnschrift" w:eastAsia="Century" w:hAnsi="Bahnschrift" w:cs="Century"/>
          <w:i/>
          <w:iCs/>
        </w:rPr>
        <w:t xml:space="preserve"> (CERN European Organization for Nuclear Research), 7</w:t>
      </w:r>
      <w:r w:rsidRPr="004977AE">
        <w:rPr>
          <w:rFonts w:ascii="Bahnschrift" w:eastAsia="Century" w:hAnsi="Bahnschrift" w:cs="Century"/>
        </w:rPr>
        <w:t xml:space="preserve">(5), 889–900. </w:t>
      </w:r>
      <w:hyperlink r:id="rId20">
        <w:r w:rsidRPr="004977AE">
          <w:rPr>
            <w:rFonts w:ascii="Bahnschrift" w:eastAsia="Century" w:hAnsi="Bahnschrift" w:cs="Century"/>
          </w:rPr>
          <w:t>https://doi.org/10.5281/zenodo.6641350</w:t>
        </w:r>
      </w:hyperlink>
      <w:r w:rsidRPr="004977AE">
        <w:rPr>
          <w:rFonts w:ascii="Bahnschrift" w:eastAsia="Century" w:hAnsi="Bahnschrift" w:cs="Century"/>
        </w:rPr>
        <w:t>.</w:t>
      </w:r>
    </w:p>
    <w:p w14:paraId="07E5FA01" w14:textId="77777777" w:rsidR="00FF2056" w:rsidRPr="004977AE" w:rsidRDefault="00FF2056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456E1EF2" w14:textId="4B9756B3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Harter, S. (1978). Pleasure derived from challenge and the effects of receiving grades on children’s difficulty level choices. </w:t>
      </w:r>
      <w:r w:rsidRPr="004977AE">
        <w:rPr>
          <w:rFonts w:ascii="Bahnschrift" w:eastAsia="Century" w:hAnsi="Bahnschrift" w:cs="Century"/>
          <w:i/>
          <w:iCs/>
        </w:rPr>
        <w:t>Child Development, 49</w:t>
      </w:r>
      <w:r w:rsidRPr="004977AE">
        <w:rPr>
          <w:rFonts w:ascii="Bahnschrift" w:eastAsia="Century" w:hAnsi="Bahnschrift" w:cs="Century"/>
        </w:rPr>
        <w:t xml:space="preserve">(3), 788. </w:t>
      </w:r>
      <w:hyperlink r:id="rId21">
        <w:r w:rsidRPr="004977AE">
          <w:rPr>
            <w:rFonts w:ascii="Bahnschrift" w:eastAsia="Century" w:hAnsi="Bahnschrift" w:cs="Century"/>
          </w:rPr>
          <w:t>https://doi.org/10.2307/1128249</w:t>
        </w:r>
      </w:hyperlink>
      <w:r w:rsidRPr="004977AE">
        <w:rPr>
          <w:rFonts w:ascii="Bahnschrift" w:eastAsia="Century" w:hAnsi="Bahnschrift" w:cs="Century"/>
        </w:rPr>
        <w:t>.</w:t>
      </w:r>
    </w:p>
    <w:p w14:paraId="2CA60674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8525020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Hawley, S. R., </w:t>
      </w:r>
      <w:proofErr w:type="spellStart"/>
      <w:r w:rsidRPr="004977AE">
        <w:rPr>
          <w:rFonts w:ascii="Bahnschrift" w:eastAsia="Century" w:hAnsi="Bahnschrift" w:cs="Century"/>
        </w:rPr>
        <w:t>Thrivikraman</w:t>
      </w:r>
      <w:proofErr w:type="spellEnd"/>
      <w:r w:rsidRPr="004977AE">
        <w:rPr>
          <w:rFonts w:ascii="Bahnschrift" w:eastAsia="Century" w:hAnsi="Bahnschrift" w:cs="Century"/>
        </w:rPr>
        <w:t xml:space="preserve">, J. K., Noveck, N., StRomain, T., Ludy, M., Barnhart, L., Chee, W. S. S., Cho, M. J., Chong, M. H. Z., Du, C., Fenton, J. I., Hsiao, P. Y., Hsiao, R., </w:t>
      </w:r>
      <w:proofErr w:type="spellStart"/>
      <w:r w:rsidRPr="004977AE">
        <w:rPr>
          <w:rFonts w:ascii="Bahnschrift" w:eastAsia="Century" w:hAnsi="Bahnschrift" w:cs="Century"/>
        </w:rPr>
        <w:t>Keaver</w:t>
      </w:r>
      <w:proofErr w:type="spellEnd"/>
      <w:r w:rsidRPr="004977AE">
        <w:rPr>
          <w:rFonts w:ascii="Bahnschrift" w:eastAsia="Century" w:hAnsi="Bahnschrift" w:cs="Century"/>
        </w:rPr>
        <w:t xml:space="preserve">, L., Lee, H., Shen, W., Lai, C., Tseng, K., Tseng, W. &amp; Tucker, R. M. (2021). Concerns of college students during the Covid-19 pandemic: Thematic perspectives from the United States, Asia, and Europe. </w:t>
      </w:r>
      <w:r w:rsidRPr="004977AE">
        <w:rPr>
          <w:rFonts w:ascii="Bahnschrift" w:eastAsia="Century" w:hAnsi="Bahnschrift" w:cs="Century"/>
          <w:i/>
          <w:iCs/>
        </w:rPr>
        <w:t>Journal of Applied Learning &amp; Teaching, 4</w:t>
      </w:r>
      <w:r w:rsidRPr="004977AE">
        <w:rPr>
          <w:rFonts w:ascii="Bahnschrift" w:eastAsia="Century" w:hAnsi="Bahnschrift" w:cs="Century"/>
        </w:rPr>
        <w:t xml:space="preserve">(1). </w:t>
      </w:r>
      <w:hyperlink r:id="rId22">
        <w:r w:rsidRPr="004977AE">
          <w:rPr>
            <w:rFonts w:ascii="Bahnschrift" w:eastAsia="Century" w:hAnsi="Bahnschrift" w:cs="Century"/>
          </w:rPr>
          <w:t>https://doi.org/10.37074/jalt.2021.4.1.10</w:t>
        </w:r>
      </w:hyperlink>
      <w:r w:rsidRPr="004977AE">
        <w:rPr>
          <w:rFonts w:ascii="Bahnschrift" w:eastAsia="Century" w:hAnsi="Bahnschrift" w:cs="Century"/>
        </w:rPr>
        <w:t>.</w:t>
      </w:r>
    </w:p>
    <w:p w14:paraId="08D8E07A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03285DC0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Husserl, E. (1997). Psychological and transcendental phenomenology and the confrontation with Heidegger (1927–1931). </w:t>
      </w:r>
      <w:r w:rsidRPr="004977AE">
        <w:rPr>
          <w:rFonts w:ascii="Bahnschrift" w:eastAsia="Century" w:hAnsi="Bahnschrift" w:cs="Century"/>
          <w:i/>
          <w:iCs/>
        </w:rPr>
        <w:t>Springer Science &amp; Business Media</w:t>
      </w:r>
      <w:r w:rsidRPr="004977AE">
        <w:rPr>
          <w:rFonts w:ascii="Bahnschrift" w:eastAsia="Century" w:hAnsi="Bahnschrift" w:cs="Century"/>
        </w:rPr>
        <w:t xml:space="preserve">. </w:t>
      </w:r>
      <w:hyperlink r:id="rId23">
        <w:r w:rsidRPr="004977AE">
          <w:rPr>
            <w:rFonts w:ascii="Bahnschrift" w:eastAsia="Century" w:hAnsi="Bahnschrift" w:cs="Century"/>
          </w:rPr>
          <w:t>https://doi.org/10.1007/978-90-481-9923-5</w:t>
        </w:r>
      </w:hyperlink>
      <w:r w:rsidRPr="004977AE">
        <w:rPr>
          <w:rFonts w:ascii="Bahnschrift" w:eastAsia="Century" w:hAnsi="Bahnschrift" w:cs="Century"/>
        </w:rPr>
        <w:t>.</w:t>
      </w:r>
    </w:p>
    <w:p w14:paraId="3EA12F6B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48A4FD35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proofErr w:type="spellStart"/>
      <w:r w:rsidRPr="004977AE">
        <w:rPr>
          <w:rFonts w:ascii="Bahnschrift" w:eastAsia="Century" w:hAnsi="Bahnschrift" w:cs="Century"/>
        </w:rPr>
        <w:t>Labrague</w:t>
      </w:r>
      <w:proofErr w:type="spellEnd"/>
      <w:r w:rsidRPr="004977AE">
        <w:rPr>
          <w:rFonts w:ascii="Bahnschrift" w:eastAsia="Century" w:hAnsi="Bahnschrift" w:cs="Century"/>
        </w:rPr>
        <w:t>, L. J. &amp; Ballad, C. A. (2021). Lockdown fatigue among college students during the Covid</w:t>
      </w:r>
      <w:r w:rsidRPr="004977AE">
        <w:rPr>
          <w:rFonts w:ascii="Cambria Math" w:eastAsia="Cambria Math" w:hAnsi="Cambria Math" w:cs="Cambria Math"/>
        </w:rPr>
        <w:t>‐</w:t>
      </w:r>
      <w:r w:rsidRPr="004977AE">
        <w:rPr>
          <w:rFonts w:ascii="Bahnschrift" w:eastAsia="Century" w:hAnsi="Bahnschrift" w:cs="Century"/>
        </w:rPr>
        <w:t xml:space="preserve">19 pandemic: Predictive role of personal resilience, coping behaviors, and health. </w:t>
      </w:r>
      <w:r w:rsidRPr="004977AE">
        <w:rPr>
          <w:rFonts w:ascii="Bahnschrift" w:eastAsia="Century" w:hAnsi="Bahnschrift" w:cs="Century"/>
          <w:i/>
          <w:iCs/>
        </w:rPr>
        <w:t>Perspectives in Psychiatric Care, 57</w:t>
      </w:r>
      <w:r w:rsidRPr="004977AE">
        <w:rPr>
          <w:rFonts w:ascii="Bahnschrift" w:eastAsia="Century" w:hAnsi="Bahnschrift" w:cs="Century"/>
        </w:rPr>
        <w:t xml:space="preserve">(4), 1905–1912. </w:t>
      </w:r>
      <w:hyperlink r:id="rId24">
        <w:r w:rsidRPr="004977AE">
          <w:rPr>
            <w:rFonts w:ascii="Bahnschrift" w:eastAsia="Century" w:hAnsi="Bahnschrift" w:cs="Century"/>
          </w:rPr>
          <w:t>https://doi.org/10.1111/ppc.12765</w:t>
        </w:r>
      </w:hyperlink>
      <w:r w:rsidRPr="004977AE">
        <w:rPr>
          <w:rFonts w:ascii="Bahnschrift" w:eastAsia="Century" w:hAnsi="Bahnschrift" w:cs="Century"/>
        </w:rPr>
        <w:t>.</w:t>
      </w:r>
    </w:p>
    <w:p w14:paraId="7C92A2DB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07EAC23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Lazarus, R. &amp; Folkman, S. (1984). </w:t>
      </w:r>
      <w:r w:rsidRPr="004977AE">
        <w:rPr>
          <w:rFonts w:ascii="Bahnschrift" w:eastAsia="Century" w:hAnsi="Bahnschrift" w:cs="Century"/>
          <w:i/>
          <w:iCs/>
        </w:rPr>
        <w:t>Stress, appraisal, and coping. Springer</w:t>
      </w:r>
      <w:r w:rsidRPr="004977AE">
        <w:rPr>
          <w:rFonts w:ascii="Bahnschrift" w:eastAsia="Century" w:hAnsi="Bahnschrift" w:cs="Century"/>
        </w:rPr>
        <w:t xml:space="preserve">. </w:t>
      </w:r>
      <w:hyperlink r:id="rId25">
        <w:r w:rsidRPr="004977AE">
          <w:rPr>
            <w:rFonts w:ascii="Bahnschrift" w:eastAsia="Century" w:hAnsi="Bahnschrift" w:cs="Century"/>
          </w:rPr>
          <w:t>https://ci.nii.ac.jp/naid/10015183136/</w:t>
        </w:r>
      </w:hyperlink>
      <w:r w:rsidRPr="004977AE">
        <w:rPr>
          <w:rFonts w:ascii="Bahnschrift" w:eastAsia="Century" w:hAnsi="Bahnschrift" w:cs="Century"/>
        </w:rPr>
        <w:t>.</w:t>
      </w:r>
    </w:p>
    <w:p w14:paraId="369E88DE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AF5716E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proofErr w:type="spellStart"/>
      <w:r w:rsidRPr="004977AE">
        <w:rPr>
          <w:rFonts w:ascii="Bahnschrift" w:eastAsia="Century" w:hAnsi="Bahnschrift" w:cs="Century"/>
        </w:rPr>
        <w:t>Kusumawati</w:t>
      </w:r>
      <w:proofErr w:type="spellEnd"/>
      <w:r w:rsidRPr="004977AE">
        <w:rPr>
          <w:rFonts w:ascii="Bahnschrift" w:eastAsia="Century" w:hAnsi="Bahnschrift" w:cs="Century"/>
        </w:rPr>
        <w:t xml:space="preserve">, F., </w:t>
      </w:r>
      <w:proofErr w:type="spellStart"/>
      <w:r w:rsidRPr="004977AE">
        <w:rPr>
          <w:rFonts w:ascii="Bahnschrift" w:eastAsia="Century" w:hAnsi="Bahnschrift" w:cs="Century"/>
        </w:rPr>
        <w:t>Sambharakreshna</w:t>
      </w:r>
      <w:proofErr w:type="spellEnd"/>
      <w:r w:rsidRPr="004977AE">
        <w:rPr>
          <w:rFonts w:ascii="Bahnschrift" w:eastAsia="Century" w:hAnsi="Bahnschrift" w:cs="Century"/>
        </w:rPr>
        <w:t xml:space="preserve">, Y. &amp; Wulandari, A. (2023). Analysis of student competencies through accounting technician certification in the global economy. </w:t>
      </w:r>
      <w:r w:rsidRPr="004977AE">
        <w:rPr>
          <w:rFonts w:ascii="Bahnschrift" w:eastAsia="Century" w:hAnsi="Bahnschrift" w:cs="Century"/>
          <w:i/>
          <w:iCs/>
        </w:rPr>
        <w:t>Journal of International Conference Proceedings (JICP), 6</w:t>
      </w:r>
      <w:r w:rsidRPr="004977AE">
        <w:rPr>
          <w:rFonts w:ascii="Bahnschrift" w:eastAsia="Century" w:hAnsi="Bahnschrift" w:cs="Century"/>
        </w:rPr>
        <w:t xml:space="preserve">(7), 303–314. </w:t>
      </w:r>
      <w:hyperlink r:id="rId26">
        <w:r w:rsidRPr="004977AE">
          <w:rPr>
            <w:rFonts w:ascii="Bahnschrift" w:eastAsia="Century" w:hAnsi="Bahnschrift" w:cs="Century"/>
          </w:rPr>
          <w:t>https://doi.org/10.32535/jicp.v6i7.2876</w:t>
        </w:r>
      </w:hyperlink>
      <w:r w:rsidRPr="004977AE">
        <w:rPr>
          <w:rFonts w:ascii="Bahnschrift" w:eastAsia="Century" w:hAnsi="Bahnschrift" w:cs="Century"/>
        </w:rPr>
        <w:t>.</w:t>
      </w:r>
    </w:p>
    <w:p w14:paraId="350D7F6C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61DE32D1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Moustakas, C. (1994). </w:t>
      </w:r>
      <w:r w:rsidRPr="004977AE">
        <w:rPr>
          <w:rFonts w:ascii="Bahnschrift" w:eastAsia="Century" w:hAnsi="Bahnschrift" w:cs="Century"/>
          <w:i/>
          <w:iCs/>
        </w:rPr>
        <w:t>Phenomenological research methods. SAGE</w:t>
      </w:r>
      <w:r w:rsidRPr="004977AE">
        <w:rPr>
          <w:rFonts w:ascii="Bahnschrift" w:eastAsia="Century" w:hAnsi="Bahnschrift" w:cs="Century"/>
        </w:rPr>
        <w:t xml:space="preserve">. </w:t>
      </w:r>
      <w:hyperlink r:id="rId27">
        <w:r w:rsidRPr="004977AE">
          <w:rPr>
            <w:rFonts w:ascii="Bahnschrift" w:eastAsia="Century" w:hAnsi="Bahnschrift" w:cs="Century"/>
          </w:rPr>
          <w:t>https://doi.org/10.4135/9781412995658</w:t>
        </w:r>
      </w:hyperlink>
      <w:r w:rsidRPr="004977AE">
        <w:rPr>
          <w:rFonts w:ascii="Bahnschrift" w:eastAsia="Century" w:hAnsi="Bahnschrift" w:cs="Century"/>
        </w:rPr>
        <w:t>.</w:t>
      </w:r>
    </w:p>
    <w:p w14:paraId="24505AF0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9BD68F4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Palomar, M. L. (2017). Licensure exams as quality indicators of higher education institutions: Implications for public accountability. </w:t>
      </w:r>
      <w:r w:rsidRPr="004977AE">
        <w:rPr>
          <w:rFonts w:ascii="Bahnschrift" w:eastAsia="Century" w:hAnsi="Bahnschrift" w:cs="Century"/>
          <w:i/>
          <w:iCs/>
        </w:rPr>
        <w:t>Educational Measurement Quarterly, 9</w:t>
      </w:r>
      <w:r w:rsidRPr="004977AE">
        <w:rPr>
          <w:rFonts w:ascii="Bahnschrift" w:eastAsia="Century" w:hAnsi="Bahnschrift" w:cs="Century"/>
        </w:rPr>
        <w:t>(1), 15-20.</w:t>
      </w:r>
    </w:p>
    <w:p w14:paraId="32702239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12DDA66C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>Praveena, K. R. &amp; Sasikumar, S. (2021). Application of Colaizzi’s method of data analysis in phenomenological research.</w:t>
      </w:r>
      <w:r w:rsidRPr="004977AE">
        <w:rPr>
          <w:rFonts w:ascii="Bahnschrift" w:eastAsia="Century" w:hAnsi="Bahnschrift" w:cs="Century"/>
          <w:i/>
          <w:iCs/>
        </w:rPr>
        <w:t xml:space="preserve"> Medico Legal Update, 21</w:t>
      </w:r>
      <w:r w:rsidRPr="004977AE">
        <w:rPr>
          <w:rFonts w:ascii="Bahnschrift" w:eastAsia="Century" w:hAnsi="Bahnschrift" w:cs="Century"/>
        </w:rPr>
        <w:t xml:space="preserve">(2). </w:t>
      </w:r>
      <w:hyperlink r:id="rId28">
        <w:r w:rsidRPr="004977AE">
          <w:rPr>
            <w:rFonts w:ascii="Bahnschrift" w:eastAsia="Century" w:hAnsi="Bahnschrift" w:cs="Century"/>
          </w:rPr>
          <w:t>https://doi.org/10.37506/mlu.v21i2.2800</w:t>
        </w:r>
      </w:hyperlink>
      <w:r w:rsidRPr="004977AE">
        <w:rPr>
          <w:rFonts w:ascii="Bahnschrift" w:eastAsia="Century" w:hAnsi="Bahnschrift" w:cs="Century"/>
        </w:rPr>
        <w:t>.</w:t>
      </w:r>
    </w:p>
    <w:p w14:paraId="5C463C2C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0D7F5401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Professional Regulation Commission. (2022, January 28). </w:t>
      </w:r>
      <w:r w:rsidRPr="004977AE">
        <w:rPr>
          <w:rFonts w:ascii="Bahnschrift" w:eastAsia="Century" w:hAnsi="Bahnschrift" w:cs="Century"/>
          <w:i/>
          <w:iCs/>
        </w:rPr>
        <w:t>December 2021 Criminology Licensure Examination results released in 31 working days.</w:t>
      </w:r>
      <w:r w:rsidRPr="004977AE">
        <w:rPr>
          <w:rFonts w:ascii="Bahnschrift" w:eastAsia="Century" w:hAnsi="Bahnschrift" w:cs="Century"/>
        </w:rPr>
        <w:t xml:space="preserve"> PRC Board of Criminology. Retrieved from https://www.prc.gov.ph</w:t>
      </w:r>
    </w:p>
    <w:p w14:paraId="68C6730B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0384E2E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Professional Regulation Commission. (2019, December 17). </w:t>
      </w:r>
      <w:r w:rsidRPr="004977AE">
        <w:rPr>
          <w:rFonts w:ascii="Bahnschrift" w:eastAsia="Century" w:hAnsi="Bahnschrift" w:cs="Century"/>
          <w:i/>
          <w:iCs/>
        </w:rPr>
        <w:t>November 2019 Criminology Licensure Examination results released in 24 working days.</w:t>
      </w:r>
      <w:r w:rsidRPr="004977AE">
        <w:rPr>
          <w:rFonts w:ascii="Bahnschrift" w:eastAsia="Century" w:hAnsi="Bahnschrift" w:cs="Century"/>
        </w:rPr>
        <w:t xml:space="preserve"> PRC Board of Criminology. Retrieved from https://www.prc.gov.ph</w:t>
      </w:r>
    </w:p>
    <w:p w14:paraId="2B1C04BE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6CEEB22E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Republic Act No. 11131. (n.d.). </w:t>
      </w:r>
      <w:r w:rsidRPr="004977AE">
        <w:rPr>
          <w:rFonts w:ascii="Bahnschrift" w:eastAsia="Century" w:hAnsi="Bahnschrift" w:cs="Century"/>
          <w:i/>
          <w:iCs/>
        </w:rPr>
        <w:t>The Philippine Criminology Profession Act of 2018</w:t>
      </w:r>
      <w:r w:rsidRPr="004977AE">
        <w:rPr>
          <w:rFonts w:ascii="Bahnschrift" w:eastAsia="Century" w:hAnsi="Bahnschrift" w:cs="Century"/>
        </w:rPr>
        <w:t xml:space="preserve">. Retrieved November 5, 2024 from </w:t>
      </w:r>
      <w:hyperlink r:id="rId29">
        <w:r w:rsidRPr="004977AE">
          <w:rPr>
            <w:rFonts w:ascii="Bahnschrift" w:eastAsia="Century" w:hAnsi="Bahnschrift" w:cs="Century"/>
          </w:rPr>
          <w:t>https://lawphil.net/statutes/repacts/ra2018/ra_11131_2018.html</w:t>
        </w:r>
      </w:hyperlink>
      <w:r w:rsidRPr="004977AE">
        <w:rPr>
          <w:rFonts w:ascii="Bahnschrift" w:eastAsia="Century" w:hAnsi="Bahnschrift" w:cs="Century"/>
        </w:rPr>
        <w:t>.</w:t>
      </w:r>
    </w:p>
    <w:p w14:paraId="1C3681A7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218AFB8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Sheehan, S. (2014). A conceptual framework for understanding transcendental phenomenology through the lived experiences of biblical leaders. </w:t>
      </w:r>
      <w:r w:rsidRPr="004977AE">
        <w:rPr>
          <w:rFonts w:ascii="Bahnschrift" w:eastAsia="Century" w:hAnsi="Bahnschrift" w:cs="Century"/>
          <w:i/>
          <w:iCs/>
        </w:rPr>
        <w:t>Emerging Leadership Journeys, 7</w:t>
      </w:r>
      <w:r w:rsidRPr="004977AE">
        <w:rPr>
          <w:rFonts w:ascii="Bahnschrift" w:eastAsia="Century" w:hAnsi="Bahnschrift" w:cs="Century"/>
        </w:rPr>
        <w:t xml:space="preserve">(1). </w:t>
      </w:r>
      <w:hyperlink r:id="rId30">
        <w:r w:rsidRPr="004977AE">
          <w:rPr>
            <w:rFonts w:ascii="Bahnschrift" w:eastAsia="Century" w:hAnsi="Bahnschrift" w:cs="Century"/>
          </w:rPr>
          <w:t>https://www.academia.edu/75095920/A_Conceptual_Framework_for_Understanding_Transcendental_Phenomenology_Through_the_Lived_Experiences_of_Biblical_Leaders</w:t>
        </w:r>
      </w:hyperlink>
      <w:r w:rsidRPr="004977AE">
        <w:rPr>
          <w:rFonts w:ascii="Bahnschrift" w:eastAsia="Century" w:hAnsi="Bahnschrift" w:cs="Century"/>
        </w:rPr>
        <w:t>.</w:t>
      </w:r>
    </w:p>
    <w:p w14:paraId="381A0DB2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5A8C3636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Sigue, W. R. L. (2018). </w:t>
      </w:r>
      <w:r w:rsidRPr="004977AE">
        <w:rPr>
          <w:rFonts w:ascii="Bahnschrift" w:eastAsia="Century" w:hAnsi="Bahnschrift" w:cs="Century"/>
          <w:i/>
          <w:iCs/>
        </w:rPr>
        <w:t>4 interesting careers in criminology</w:t>
      </w:r>
      <w:r w:rsidRPr="004977AE">
        <w:rPr>
          <w:rFonts w:ascii="Bahnschrift" w:eastAsia="Century" w:hAnsi="Bahnschrift" w:cs="Century"/>
        </w:rPr>
        <w:t xml:space="preserve">. Retrieved February 8, 2024 from </w:t>
      </w:r>
      <w:hyperlink r:id="rId31">
        <w:r w:rsidRPr="004977AE">
          <w:rPr>
            <w:rFonts w:ascii="Bahnschrift" w:eastAsia="Century" w:hAnsi="Bahnschrift" w:cs="Century"/>
          </w:rPr>
          <w:t>https://www.edukasyon.ph/blog/4-interesting-careers-in-criminology</w:t>
        </w:r>
      </w:hyperlink>
      <w:r w:rsidRPr="004977AE">
        <w:rPr>
          <w:rFonts w:ascii="Bahnschrift" w:eastAsia="Century" w:hAnsi="Bahnschrift" w:cs="Century"/>
        </w:rPr>
        <w:t>.</w:t>
      </w:r>
    </w:p>
    <w:p w14:paraId="50089992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4F85BB7" w14:textId="77777777" w:rsidR="00C77D17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4977AE">
        <w:rPr>
          <w:rFonts w:ascii="Bahnschrift" w:eastAsia="Century" w:hAnsi="Bahnschrift" w:cs="Century"/>
        </w:rPr>
        <w:t xml:space="preserve">Volkan, E. &amp; Volkan, E. (2020). Under the Covid-19 lockdown: Rapid review about the unique case of North Cyprus. </w:t>
      </w:r>
      <w:r w:rsidRPr="004977AE">
        <w:rPr>
          <w:rFonts w:ascii="Bahnschrift" w:eastAsia="Century" w:hAnsi="Bahnschrift" w:cs="Century"/>
          <w:i/>
          <w:iCs/>
        </w:rPr>
        <w:t>Psychological Trauma: Theory, Research, Practice and Policy, 12</w:t>
      </w:r>
      <w:r w:rsidRPr="004977AE">
        <w:rPr>
          <w:rFonts w:ascii="Bahnschrift" w:eastAsia="Century" w:hAnsi="Bahnschrift" w:cs="Century"/>
        </w:rPr>
        <w:t xml:space="preserve">(5), 539–541. </w:t>
      </w:r>
      <w:hyperlink r:id="rId32">
        <w:r w:rsidRPr="004977AE">
          <w:rPr>
            <w:rFonts w:ascii="Bahnschrift" w:eastAsia="Century" w:hAnsi="Bahnschrift" w:cs="Century"/>
          </w:rPr>
          <w:t>https://doi.org/10.1037/tra0000809</w:t>
        </w:r>
      </w:hyperlink>
      <w:r w:rsidRPr="004977AE">
        <w:rPr>
          <w:rFonts w:ascii="Bahnschrift" w:eastAsia="Century" w:hAnsi="Bahnschrift" w:cs="Century"/>
        </w:rPr>
        <w:t>.</w:t>
      </w:r>
    </w:p>
    <w:p w14:paraId="5CF16917" w14:textId="77777777" w:rsidR="00FF2056" w:rsidRPr="004977AE" w:rsidRDefault="00FF2056" w:rsidP="00C77D17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3B92A08" w14:textId="1CB4BE33" w:rsidR="00546D66" w:rsidRPr="004977AE" w:rsidRDefault="00C77D17" w:rsidP="00C77D17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4977AE">
        <w:rPr>
          <w:rFonts w:ascii="Bahnschrift" w:eastAsia="Century" w:hAnsi="Bahnschrift" w:cs="Century"/>
        </w:rPr>
        <w:t>Walinga</w:t>
      </w:r>
      <w:proofErr w:type="spellEnd"/>
      <w:r w:rsidRPr="004977AE">
        <w:rPr>
          <w:rFonts w:ascii="Bahnschrift" w:eastAsia="Century" w:hAnsi="Bahnschrift" w:cs="Century"/>
        </w:rPr>
        <w:t xml:space="preserve">, J. &amp; </w:t>
      </w:r>
      <w:proofErr w:type="spellStart"/>
      <w:r w:rsidRPr="004977AE">
        <w:rPr>
          <w:rFonts w:ascii="Bahnschrift" w:eastAsia="Century" w:hAnsi="Bahnschrift" w:cs="Century"/>
        </w:rPr>
        <w:t>Stangor</w:t>
      </w:r>
      <w:proofErr w:type="spellEnd"/>
      <w:r w:rsidRPr="004977AE">
        <w:rPr>
          <w:rFonts w:ascii="Bahnschrift" w:eastAsia="Century" w:hAnsi="Bahnschrift" w:cs="Century"/>
        </w:rPr>
        <w:t xml:space="preserve">, C. (2014). </w:t>
      </w:r>
      <w:r w:rsidRPr="004977AE">
        <w:rPr>
          <w:rFonts w:ascii="Bahnschrift" w:eastAsia="Century" w:hAnsi="Bahnschrift" w:cs="Century"/>
          <w:i/>
          <w:iCs/>
        </w:rPr>
        <w:t xml:space="preserve">Introduction to psychology (1st Canadian Ed.). </w:t>
      </w:r>
      <w:proofErr w:type="spellStart"/>
      <w:r w:rsidRPr="004977AE">
        <w:rPr>
          <w:rFonts w:ascii="Bahnschrift" w:eastAsia="Century" w:hAnsi="Bahnschrift" w:cs="Century"/>
          <w:i/>
          <w:iCs/>
        </w:rPr>
        <w:t>BCcampus</w:t>
      </w:r>
      <w:proofErr w:type="spellEnd"/>
      <w:r w:rsidRPr="004977AE">
        <w:rPr>
          <w:rFonts w:ascii="Bahnschrift" w:eastAsia="Century" w:hAnsi="Bahnschrift" w:cs="Century"/>
          <w:i/>
          <w:iCs/>
        </w:rPr>
        <w:t>.</w:t>
      </w:r>
      <w:r w:rsidRPr="004977AE">
        <w:rPr>
          <w:rFonts w:ascii="Bahnschrift" w:eastAsia="Century" w:hAnsi="Bahnschrift" w:cs="Century"/>
        </w:rPr>
        <w:t xml:space="preserve"> https://opentextbc.ca/introductiontopsychology/.</w:t>
      </w:r>
    </w:p>
    <w:sectPr w:rsidR="00546D66" w:rsidRPr="004977AE" w:rsidSect="00F95C61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CE2BF" w14:textId="77777777" w:rsidR="00EC50E5" w:rsidRDefault="00EC50E5" w:rsidP="00EE5BB5">
      <w:pPr>
        <w:spacing w:after="0" w:line="240" w:lineRule="auto"/>
      </w:pPr>
      <w:r>
        <w:separator/>
      </w:r>
    </w:p>
  </w:endnote>
  <w:endnote w:type="continuationSeparator" w:id="0">
    <w:p w14:paraId="4A6AC79A" w14:textId="77777777" w:rsidR="00EC50E5" w:rsidRDefault="00EC50E5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287AE" w14:textId="77777777" w:rsidR="00EC50E5" w:rsidRDefault="00EC50E5" w:rsidP="00EE5BB5">
      <w:pPr>
        <w:spacing w:after="0" w:line="240" w:lineRule="auto"/>
      </w:pPr>
      <w:r>
        <w:separator/>
      </w:r>
    </w:p>
  </w:footnote>
  <w:footnote w:type="continuationSeparator" w:id="0">
    <w:p w14:paraId="2CF99800" w14:textId="77777777" w:rsidR="00EC50E5" w:rsidRDefault="00EC50E5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347C979A" w:rsidR="00473099" w:rsidRDefault="004B4C8F" w:rsidP="004B4C8F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EADDD62" wp14:editId="33E1F866">
              <wp:simplePos x="0" y="0"/>
              <wp:positionH relativeFrom="margin">
                <wp:posOffset>-84455</wp:posOffset>
              </wp:positionH>
              <wp:positionV relativeFrom="paragraph">
                <wp:posOffset>-290195</wp:posOffset>
              </wp:positionV>
              <wp:extent cx="4901565" cy="349250"/>
              <wp:effectExtent l="0" t="0" r="0" b="0"/>
              <wp:wrapNone/>
              <wp:docPr id="1096497955" name="Rectangle 10964979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492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5194AE60" w14:textId="77777777" w:rsidR="004B4C8F" w:rsidRDefault="004B4C8F" w:rsidP="004B4C8F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269A2073" w14:textId="70D038D1" w:rsidR="004B4C8F" w:rsidRPr="00082035" w:rsidRDefault="004B4C8F" w:rsidP="004B4C8F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.SC-1225-003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ADDD62" id="Rectangle 1096497955" o:spid="_x0000_s1027" style="position:absolute;left:0;text-align:left;margin-left:-6.65pt;margin-top:-22.85pt;width:385.95pt;height:27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" fillcolor="window" stroked="f" strokeweight="1pt">
              <v:textbox>
                <w:txbxContent>
                  <w:p w14:paraId="5194AE60" w14:textId="77777777" w:rsidR="004B4C8F" w:rsidRDefault="004B4C8F" w:rsidP="004B4C8F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269A2073" w14:textId="70D038D1" w:rsidR="004B4C8F" w:rsidRPr="00082035" w:rsidRDefault="004B4C8F" w:rsidP="004B4C8F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.SC-1225-003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26B9586F" w14:textId="77777777" w:rsidR="004B4C8F" w:rsidRPr="004B4C8F" w:rsidRDefault="004B4C8F" w:rsidP="004B4C8F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E60B7"/>
    <w:multiLevelType w:val="multilevel"/>
    <w:tmpl w:val="E7E86288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 w15:restartNumberingAfterBreak="0">
    <w:nsid w:val="103868A6"/>
    <w:multiLevelType w:val="hybridMultilevel"/>
    <w:tmpl w:val="5A6AF17E"/>
    <w:lvl w:ilvl="0" w:tplc="3DB007A2">
      <w:start w:val="1"/>
      <w:numFmt w:val="decimal"/>
      <w:lvlText w:val="%1."/>
      <w:lvlJc w:val="left"/>
      <w:pPr>
        <w:ind w:left="284" w:hanging="284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3218E"/>
    <w:multiLevelType w:val="multilevel"/>
    <w:tmpl w:val="E7E86288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FF7211"/>
    <w:multiLevelType w:val="hybridMultilevel"/>
    <w:tmpl w:val="992CD5A6"/>
    <w:lvl w:ilvl="0" w:tplc="348C4414">
      <w:start w:val="1"/>
      <w:numFmt w:val="decimal"/>
      <w:lvlText w:val="%1."/>
      <w:lvlJc w:val="left"/>
      <w:pPr>
        <w:ind w:left="284" w:hanging="284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F628C5"/>
    <w:multiLevelType w:val="hybridMultilevel"/>
    <w:tmpl w:val="B4BC24CC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D36C59"/>
    <w:multiLevelType w:val="hybridMultilevel"/>
    <w:tmpl w:val="B1EAF6DC"/>
    <w:lvl w:ilvl="0" w:tplc="03784CE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173D80"/>
    <w:multiLevelType w:val="hybridMultilevel"/>
    <w:tmpl w:val="207A57EE"/>
    <w:lvl w:ilvl="0" w:tplc="D7F09A84">
      <w:start w:val="1"/>
      <w:numFmt w:val="decimal"/>
      <w:lvlText w:val="%1."/>
      <w:lvlJc w:val="left"/>
      <w:pPr>
        <w:ind w:left="567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723" w:hanging="360"/>
      </w:pPr>
    </w:lvl>
    <w:lvl w:ilvl="2" w:tplc="3409001B" w:tentative="1">
      <w:start w:val="1"/>
      <w:numFmt w:val="lowerRoman"/>
      <w:lvlText w:val="%3."/>
      <w:lvlJc w:val="right"/>
      <w:pPr>
        <w:ind w:left="2443" w:hanging="180"/>
      </w:pPr>
    </w:lvl>
    <w:lvl w:ilvl="3" w:tplc="3409000F" w:tentative="1">
      <w:start w:val="1"/>
      <w:numFmt w:val="decimal"/>
      <w:lvlText w:val="%4."/>
      <w:lvlJc w:val="left"/>
      <w:pPr>
        <w:ind w:left="3163" w:hanging="360"/>
      </w:pPr>
    </w:lvl>
    <w:lvl w:ilvl="4" w:tplc="34090019" w:tentative="1">
      <w:start w:val="1"/>
      <w:numFmt w:val="lowerLetter"/>
      <w:lvlText w:val="%5."/>
      <w:lvlJc w:val="left"/>
      <w:pPr>
        <w:ind w:left="3883" w:hanging="360"/>
      </w:pPr>
    </w:lvl>
    <w:lvl w:ilvl="5" w:tplc="3409001B" w:tentative="1">
      <w:start w:val="1"/>
      <w:numFmt w:val="lowerRoman"/>
      <w:lvlText w:val="%6."/>
      <w:lvlJc w:val="right"/>
      <w:pPr>
        <w:ind w:left="4603" w:hanging="180"/>
      </w:pPr>
    </w:lvl>
    <w:lvl w:ilvl="6" w:tplc="3409000F" w:tentative="1">
      <w:start w:val="1"/>
      <w:numFmt w:val="decimal"/>
      <w:lvlText w:val="%7."/>
      <w:lvlJc w:val="left"/>
      <w:pPr>
        <w:ind w:left="5323" w:hanging="360"/>
      </w:pPr>
    </w:lvl>
    <w:lvl w:ilvl="7" w:tplc="34090019" w:tentative="1">
      <w:start w:val="1"/>
      <w:numFmt w:val="lowerLetter"/>
      <w:lvlText w:val="%8."/>
      <w:lvlJc w:val="left"/>
      <w:pPr>
        <w:ind w:left="6043" w:hanging="360"/>
      </w:pPr>
    </w:lvl>
    <w:lvl w:ilvl="8" w:tplc="3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" w15:restartNumberingAfterBreak="0">
    <w:nsid w:val="5100243A"/>
    <w:multiLevelType w:val="hybridMultilevel"/>
    <w:tmpl w:val="4C48EEB8"/>
    <w:lvl w:ilvl="0" w:tplc="D7F09A8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363" w:hanging="360"/>
      </w:pPr>
    </w:lvl>
    <w:lvl w:ilvl="2" w:tplc="3409001B" w:tentative="1">
      <w:start w:val="1"/>
      <w:numFmt w:val="lowerRoman"/>
      <w:lvlText w:val="%3."/>
      <w:lvlJc w:val="right"/>
      <w:pPr>
        <w:ind w:left="2083" w:hanging="180"/>
      </w:pPr>
    </w:lvl>
    <w:lvl w:ilvl="3" w:tplc="3409000F" w:tentative="1">
      <w:start w:val="1"/>
      <w:numFmt w:val="decimal"/>
      <w:lvlText w:val="%4."/>
      <w:lvlJc w:val="left"/>
      <w:pPr>
        <w:ind w:left="2803" w:hanging="360"/>
      </w:pPr>
    </w:lvl>
    <w:lvl w:ilvl="4" w:tplc="34090019" w:tentative="1">
      <w:start w:val="1"/>
      <w:numFmt w:val="lowerLetter"/>
      <w:lvlText w:val="%5."/>
      <w:lvlJc w:val="left"/>
      <w:pPr>
        <w:ind w:left="3523" w:hanging="360"/>
      </w:pPr>
    </w:lvl>
    <w:lvl w:ilvl="5" w:tplc="3409001B" w:tentative="1">
      <w:start w:val="1"/>
      <w:numFmt w:val="lowerRoman"/>
      <w:lvlText w:val="%6."/>
      <w:lvlJc w:val="right"/>
      <w:pPr>
        <w:ind w:left="4243" w:hanging="180"/>
      </w:pPr>
    </w:lvl>
    <w:lvl w:ilvl="6" w:tplc="3409000F" w:tentative="1">
      <w:start w:val="1"/>
      <w:numFmt w:val="decimal"/>
      <w:lvlText w:val="%7."/>
      <w:lvlJc w:val="left"/>
      <w:pPr>
        <w:ind w:left="4963" w:hanging="360"/>
      </w:pPr>
    </w:lvl>
    <w:lvl w:ilvl="7" w:tplc="34090019" w:tentative="1">
      <w:start w:val="1"/>
      <w:numFmt w:val="lowerLetter"/>
      <w:lvlText w:val="%8."/>
      <w:lvlJc w:val="left"/>
      <w:pPr>
        <w:ind w:left="5683" w:hanging="360"/>
      </w:pPr>
    </w:lvl>
    <w:lvl w:ilvl="8" w:tplc="3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" w15:restartNumberingAfterBreak="0">
    <w:nsid w:val="58061439"/>
    <w:multiLevelType w:val="hybridMultilevel"/>
    <w:tmpl w:val="55B8FD56"/>
    <w:lvl w:ilvl="0" w:tplc="D17E71AC">
      <w:start w:val="1"/>
      <w:numFmt w:val="decimal"/>
      <w:lvlText w:val="%1."/>
      <w:lvlJc w:val="left"/>
      <w:pPr>
        <w:ind w:left="284" w:hanging="284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0F266B"/>
    <w:multiLevelType w:val="hybridMultilevel"/>
    <w:tmpl w:val="F40C09A0"/>
    <w:lvl w:ilvl="0" w:tplc="03784CE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363" w:hanging="360"/>
      </w:pPr>
    </w:lvl>
    <w:lvl w:ilvl="2" w:tplc="3409001B" w:tentative="1">
      <w:start w:val="1"/>
      <w:numFmt w:val="lowerRoman"/>
      <w:lvlText w:val="%3."/>
      <w:lvlJc w:val="right"/>
      <w:pPr>
        <w:ind w:left="2083" w:hanging="180"/>
      </w:pPr>
    </w:lvl>
    <w:lvl w:ilvl="3" w:tplc="3409000F" w:tentative="1">
      <w:start w:val="1"/>
      <w:numFmt w:val="decimal"/>
      <w:lvlText w:val="%4."/>
      <w:lvlJc w:val="left"/>
      <w:pPr>
        <w:ind w:left="2803" w:hanging="360"/>
      </w:pPr>
    </w:lvl>
    <w:lvl w:ilvl="4" w:tplc="34090019" w:tentative="1">
      <w:start w:val="1"/>
      <w:numFmt w:val="lowerLetter"/>
      <w:lvlText w:val="%5."/>
      <w:lvlJc w:val="left"/>
      <w:pPr>
        <w:ind w:left="3523" w:hanging="360"/>
      </w:pPr>
    </w:lvl>
    <w:lvl w:ilvl="5" w:tplc="3409001B" w:tentative="1">
      <w:start w:val="1"/>
      <w:numFmt w:val="lowerRoman"/>
      <w:lvlText w:val="%6."/>
      <w:lvlJc w:val="right"/>
      <w:pPr>
        <w:ind w:left="4243" w:hanging="180"/>
      </w:pPr>
    </w:lvl>
    <w:lvl w:ilvl="6" w:tplc="3409000F" w:tentative="1">
      <w:start w:val="1"/>
      <w:numFmt w:val="decimal"/>
      <w:lvlText w:val="%7."/>
      <w:lvlJc w:val="left"/>
      <w:pPr>
        <w:ind w:left="4963" w:hanging="360"/>
      </w:pPr>
    </w:lvl>
    <w:lvl w:ilvl="7" w:tplc="34090019" w:tentative="1">
      <w:start w:val="1"/>
      <w:numFmt w:val="lowerLetter"/>
      <w:lvlText w:val="%8."/>
      <w:lvlJc w:val="left"/>
      <w:pPr>
        <w:ind w:left="5683" w:hanging="360"/>
      </w:pPr>
    </w:lvl>
    <w:lvl w:ilvl="8" w:tplc="3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abstractNum w:abstractNumId="13" w15:restartNumberingAfterBreak="0">
    <w:nsid w:val="7F472B63"/>
    <w:multiLevelType w:val="hybridMultilevel"/>
    <w:tmpl w:val="E0A244EC"/>
    <w:lvl w:ilvl="0" w:tplc="0FE64EEA">
      <w:start w:val="1"/>
      <w:numFmt w:val="decimal"/>
      <w:lvlText w:val="%1."/>
      <w:lvlJc w:val="left"/>
      <w:pPr>
        <w:ind w:left="284" w:hanging="284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08628">
    <w:abstractNumId w:val="11"/>
  </w:num>
  <w:num w:numId="2" w16cid:durableId="1113865905">
    <w:abstractNumId w:val="12"/>
  </w:num>
  <w:num w:numId="3" w16cid:durableId="1849559613">
    <w:abstractNumId w:val="3"/>
  </w:num>
  <w:num w:numId="4" w16cid:durableId="728923849">
    <w:abstractNumId w:val="5"/>
  </w:num>
  <w:num w:numId="5" w16cid:durableId="1919168491">
    <w:abstractNumId w:val="0"/>
  </w:num>
  <w:num w:numId="6" w16cid:durableId="1924683485">
    <w:abstractNumId w:val="2"/>
  </w:num>
  <w:num w:numId="7" w16cid:durableId="1937905384">
    <w:abstractNumId w:val="8"/>
  </w:num>
  <w:num w:numId="8" w16cid:durableId="2078700900">
    <w:abstractNumId w:val="7"/>
  </w:num>
  <w:num w:numId="9" w16cid:durableId="69888956">
    <w:abstractNumId w:val="10"/>
  </w:num>
  <w:num w:numId="10" w16cid:durableId="1942489206">
    <w:abstractNumId w:val="6"/>
  </w:num>
  <w:num w:numId="11" w16cid:durableId="1154489509">
    <w:abstractNumId w:val="13"/>
  </w:num>
  <w:num w:numId="12" w16cid:durableId="1144082936">
    <w:abstractNumId w:val="9"/>
  </w:num>
  <w:num w:numId="13" w16cid:durableId="2002466489">
    <w:abstractNumId w:val="4"/>
  </w:num>
  <w:num w:numId="14" w16cid:durableId="12378600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622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0B1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A4B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ADF"/>
    <w:rsid w:val="00086C71"/>
    <w:rsid w:val="00087D31"/>
    <w:rsid w:val="00087D76"/>
    <w:rsid w:val="00087ED5"/>
    <w:rsid w:val="0009094C"/>
    <w:rsid w:val="00092FBE"/>
    <w:rsid w:val="000941B9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3ADB"/>
    <w:rsid w:val="000B4FBB"/>
    <w:rsid w:val="000B5707"/>
    <w:rsid w:val="000B6994"/>
    <w:rsid w:val="000B76AE"/>
    <w:rsid w:val="000C306C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447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3261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2B"/>
    <w:rsid w:val="001469D4"/>
    <w:rsid w:val="00150CF2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3051"/>
    <w:rsid w:val="00194B62"/>
    <w:rsid w:val="00194DDF"/>
    <w:rsid w:val="001A0E71"/>
    <w:rsid w:val="001A3ABB"/>
    <w:rsid w:val="001A463D"/>
    <w:rsid w:val="001A6266"/>
    <w:rsid w:val="001A7694"/>
    <w:rsid w:val="001B11A3"/>
    <w:rsid w:val="001B1386"/>
    <w:rsid w:val="001B1CF5"/>
    <w:rsid w:val="001B37EC"/>
    <w:rsid w:val="001B5E18"/>
    <w:rsid w:val="001B66FF"/>
    <w:rsid w:val="001B6B11"/>
    <w:rsid w:val="001B7161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35B4"/>
    <w:rsid w:val="002336C9"/>
    <w:rsid w:val="00234AF2"/>
    <w:rsid w:val="00240966"/>
    <w:rsid w:val="00240AD5"/>
    <w:rsid w:val="00241569"/>
    <w:rsid w:val="00241AE8"/>
    <w:rsid w:val="00241F24"/>
    <w:rsid w:val="002421A4"/>
    <w:rsid w:val="002444C9"/>
    <w:rsid w:val="00245E5A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137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C09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1EEF"/>
    <w:rsid w:val="00333CED"/>
    <w:rsid w:val="003356DD"/>
    <w:rsid w:val="00335DB1"/>
    <w:rsid w:val="003374FA"/>
    <w:rsid w:val="00337C31"/>
    <w:rsid w:val="00340722"/>
    <w:rsid w:val="003457C9"/>
    <w:rsid w:val="00345847"/>
    <w:rsid w:val="00346F3F"/>
    <w:rsid w:val="0034741C"/>
    <w:rsid w:val="00351A4A"/>
    <w:rsid w:val="0035277A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686A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1DB0"/>
    <w:rsid w:val="003A213D"/>
    <w:rsid w:val="003A32B0"/>
    <w:rsid w:val="003A646B"/>
    <w:rsid w:val="003B1E0A"/>
    <w:rsid w:val="003B2384"/>
    <w:rsid w:val="003B258C"/>
    <w:rsid w:val="003B3E12"/>
    <w:rsid w:val="003B6666"/>
    <w:rsid w:val="003B7D3A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3C7"/>
    <w:rsid w:val="00406430"/>
    <w:rsid w:val="00407374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2E73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D87"/>
    <w:rsid w:val="00443404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63C7"/>
    <w:rsid w:val="00496FDA"/>
    <w:rsid w:val="004977AE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4C8F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99"/>
    <w:rsid w:val="004D4BB1"/>
    <w:rsid w:val="004D54FE"/>
    <w:rsid w:val="004D66C4"/>
    <w:rsid w:val="004D7DD4"/>
    <w:rsid w:val="004E0F97"/>
    <w:rsid w:val="004E1A92"/>
    <w:rsid w:val="004E1B79"/>
    <w:rsid w:val="004E1C5C"/>
    <w:rsid w:val="004E23E3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2CD7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7CEC"/>
    <w:rsid w:val="00527EA5"/>
    <w:rsid w:val="00530EB4"/>
    <w:rsid w:val="00531A05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6D66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7E70"/>
    <w:rsid w:val="005C0962"/>
    <w:rsid w:val="005C0D1F"/>
    <w:rsid w:val="005C192A"/>
    <w:rsid w:val="005C34F7"/>
    <w:rsid w:val="005C3F06"/>
    <w:rsid w:val="005C5DF6"/>
    <w:rsid w:val="005C79CE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52B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420D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D504E"/>
    <w:rsid w:val="006D6295"/>
    <w:rsid w:val="006E0540"/>
    <w:rsid w:val="006E1166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15B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5DB6"/>
    <w:rsid w:val="00786DA9"/>
    <w:rsid w:val="00790C79"/>
    <w:rsid w:val="007927A0"/>
    <w:rsid w:val="00793007"/>
    <w:rsid w:val="00793CEE"/>
    <w:rsid w:val="007940D3"/>
    <w:rsid w:val="00796EEB"/>
    <w:rsid w:val="00797BBD"/>
    <w:rsid w:val="007A0E8B"/>
    <w:rsid w:val="007A1584"/>
    <w:rsid w:val="007A196F"/>
    <w:rsid w:val="007A19B0"/>
    <w:rsid w:val="007A39C1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E1511"/>
    <w:rsid w:val="007E1FF5"/>
    <w:rsid w:val="007E28D4"/>
    <w:rsid w:val="007E56D7"/>
    <w:rsid w:val="007F1D76"/>
    <w:rsid w:val="007F4256"/>
    <w:rsid w:val="007F612F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621C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70A17"/>
    <w:rsid w:val="00870D9D"/>
    <w:rsid w:val="00871DA8"/>
    <w:rsid w:val="0087239C"/>
    <w:rsid w:val="008724AE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5AE1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C78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5E62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C20"/>
    <w:rsid w:val="009C7EC1"/>
    <w:rsid w:val="009D172A"/>
    <w:rsid w:val="009D1FEE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379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AE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1A93"/>
    <w:rsid w:val="00B63532"/>
    <w:rsid w:val="00B650CA"/>
    <w:rsid w:val="00B65E87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37D0B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56D82"/>
    <w:rsid w:val="00C607E8"/>
    <w:rsid w:val="00C60AF9"/>
    <w:rsid w:val="00C64279"/>
    <w:rsid w:val="00C65656"/>
    <w:rsid w:val="00C656E2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77D17"/>
    <w:rsid w:val="00C8004F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1A71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E8"/>
    <w:rsid w:val="00D16930"/>
    <w:rsid w:val="00D17325"/>
    <w:rsid w:val="00D202AF"/>
    <w:rsid w:val="00D21F7C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143F"/>
    <w:rsid w:val="00D4247E"/>
    <w:rsid w:val="00D42AE8"/>
    <w:rsid w:val="00D443C2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75D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23A3"/>
    <w:rsid w:val="00E06DC3"/>
    <w:rsid w:val="00E07070"/>
    <w:rsid w:val="00E110B7"/>
    <w:rsid w:val="00E11813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4CDB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0E5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4F6C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5F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1291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3878"/>
    <w:rsid w:val="00F9409F"/>
    <w:rsid w:val="00F9566A"/>
    <w:rsid w:val="00F95C61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567"/>
    <w:rsid w:val="00FE3F1D"/>
    <w:rsid w:val="00FE48CE"/>
    <w:rsid w:val="00FE735F"/>
    <w:rsid w:val="00FF07A3"/>
    <w:rsid w:val="00FF08E5"/>
    <w:rsid w:val="00FF0FC1"/>
    <w:rsid w:val="00FF2050"/>
    <w:rsid w:val="00FF2056"/>
    <w:rsid w:val="00FF3BB7"/>
    <w:rsid w:val="00FF4032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yperlink" Target="https://www.edukasyon.ph/schools/biliran-province-state-university" TargetMode="External"/><Relationship Id="rId26" Type="http://schemas.openxmlformats.org/officeDocument/2006/relationships/hyperlink" Target="https://doi.org/10.32535/jicp.v6i7.2876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2307/1128249" TargetMode="External"/><Relationship Id="rId34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doi.org/10.32996/ijlps.2024.6.3.7" TargetMode="External"/><Relationship Id="rId25" Type="http://schemas.openxmlformats.org/officeDocument/2006/relationships/hyperlink" Target="https://ci.nii.ac.jp/naid/10015183136/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1037/0033-295x.84.2.191" TargetMode="External"/><Relationship Id="rId20" Type="http://schemas.openxmlformats.org/officeDocument/2006/relationships/hyperlink" Target="https://doi.org/10.5281/zenodo.6641350" TargetMode="External"/><Relationship Id="rId29" Type="http://schemas.openxmlformats.org/officeDocument/2006/relationships/hyperlink" Target="https://lawphil.net/statutes/repacts/ra2018/ra_11131_2018.htm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doi.org/10.1111/ppc.12765" TargetMode="External"/><Relationship Id="rId32" Type="http://schemas.openxmlformats.org/officeDocument/2006/relationships/hyperlink" Target="https://doi.org/10.1037/tra0000809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doi.org/10.12973/eu-jer.11.1.365" TargetMode="External"/><Relationship Id="rId23" Type="http://schemas.openxmlformats.org/officeDocument/2006/relationships/hyperlink" Target="https://doi.org/10.1007/978-90-481-9923-5" TargetMode="External"/><Relationship Id="rId28" Type="http://schemas.openxmlformats.org/officeDocument/2006/relationships/hyperlink" Target="https://doi.org/10.37506/mlu.v21i2.2800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doi.org/10.1093/pubmed/fdab246" TargetMode="External"/><Relationship Id="rId31" Type="http://schemas.openxmlformats.org/officeDocument/2006/relationships/hyperlink" Target="https://www.edukasyon.ph/blog/4-interesting-careers-in-criminology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hyperlink" Target="https://doi.org/10.37074/jalt.2021.4.1.10" TargetMode="External"/><Relationship Id="rId27" Type="http://schemas.openxmlformats.org/officeDocument/2006/relationships/hyperlink" Target="https://doi.org/10.4135/9781412995658" TargetMode="External"/><Relationship Id="rId30" Type="http://schemas.openxmlformats.org/officeDocument/2006/relationships/hyperlink" Target="https://www.academia.edu/75095920/A_Conceptual_Framework_for_Understanding_Transcendental_Phenomenology_Through_the_Lived_Experiences_of_Biblical_Leaders" TargetMode="Externa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175</cp:revision>
  <cp:lastPrinted>2025-05-29T06:08:00Z</cp:lastPrinted>
  <dcterms:created xsi:type="dcterms:W3CDTF">2025-10-30T12:13:00Z</dcterms:created>
  <dcterms:modified xsi:type="dcterms:W3CDTF">2026-02-26T00:55:00Z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